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09" w:rsidRDefault="00F47C09" w:rsidP="000624E1">
      <w:pPr>
        <w:pStyle w:val="Nagwek"/>
        <w:jc w:val="right"/>
      </w:pPr>
      <w:r>
        <w:t xml:space="preserve">Załącznik nr </w:t>
      </w:r>
      <w:r w:rsidR="001E2126">
        <w:t>2 do Zaproszenia</w:t>
      </w:r>
    </w:p>
    <w:p w:rsidR="000624E1" w:rsidRPr="000624E1" w:rsidRDefault="000624E1" w:rsidP="000624E1">
      <w:pPr>
        <w:shd w:val="clear" w:color="auto" w:fill="FFFFFF"/>
        <w:ind w:left="360"/>
        <w:jc w:val="both"/>
        <w:rPr>
          <w:sz w:val="22"/>
          <w:szCs w:val="22"/>
        </w:rPr>
      </w:pPr>
      <w:r w:rsidRPr="000624E1">
        <w:rPr>
          <w:sz w:val="22"/>
          <w:szCs w:val="22"/>
        </w:rPr>
        <w:t>Nr sprawy: KN-PRNG.2611.3.2021</w:t>
      </w:r>
    </w:p>
    <w:p w:rsidR="000624E1" w:rsidRDefault="000624E1" w:rsidP="000624E1">
      <w:pPr>
        <w:pStyle w:val="Nagwek"/>
      </w:pPr>
    </w:p>
    <w:p w:rsidR="009A2B22" w:rsidRDefault="009A2B22" w:rsidP="00AF39B6">
      <w:pPr>
        <w:shd w:val="clear" w:color="auto" w:fill="FFFFFF"/>
        <w:jc w:val="both"/>
      </w:pPr>
    </w:p>
    <w:p w:rsidR="0051414F" w:rsidRPr="0032330C" w:rsidRDefault="0051414F" w:rsidP="009A2B22">
      <w:pPr>
        <w:shd w:val="clear" w:color="auto" w:fill="FFFFFF"/>
        <w:ind w:left="360"/>
        <w:jc w:val="both"/>
      </w:pPr>
    </w:p>
    <w:p w:rsidR="004B5B37" w:rsidRDefault="00A91EC5" w:rsidP="004B5B37">
      <w:pPr>
        <w:jc w:val="center"/>
        <w:rPr>
          <w:b/>
        </w:rPr>
      </w:pPr>
      <w:r>
        <w:rPr>
          <w:b/>
        </w:rPr>
        <w:t>Warunki techniczne</w:t>
      </w:r>
    </w:p>
    <w:p w:rsidR="009A2B22" w:rsidRPr="009A2B22" w:rsidRDefault="004B5B37" w:rsidP="00A91EC5">
      <w:pPr>
        <w:spacing w:before="120"/>
        <w:jc w:val="center"/>
      </w:pPr>
      <w:r>
        <w:rPr>
          <w:b/>
        </w:rPr>
        <w:t>O</w:t>
      </w:r>
      <w:r w:rsidR="00FD16DD">
        <w:rPr>
          <w:b/>
        </w:rPr>
        <w:t>pracowanie</w:t>
      </w:r>
      <w:r w:rsidR="00A91EC5">
        <w:rPr>
          <w:b/>
        </w:rPr>
        <w:t xml:space="preserve"> </w:t>
      </w:r>
      <w:r>
        <w:rPr>
          <w:b/>
        </w:rPr>
        <w:t xml:space="preserve">merytoryczne </w:t>
      </w:r>
      <w:r w:rsidR="00A91EC5">
        <w:rPr>
          <w:b/>
        </w:rPr>
        <w:t xml:space="preserve">zasad </w:t>
      </w:r>
      <w:r w:rsidR="00FD16DD">
        <w:rPr>
          <w:b/>
        </w:rPr>
        <w:t>transliteracji i transkrypcji</w:t>
      </w:r>
      <w:r w:rsidR="00A91EC5">
        <w:rPr>
          <w:b/>
        </w:rPr>
        <w:t xml:space="preserve"> nazw geograficznych</w:t>
      </w:r>
    </w:p>
    <w:p w:rsidR="009A2B22" w:rsidRDefault="009A2B22" w:rsidP="009A2B22">
      <w:pPr>
        <w:jc w:val="both"/>
      </w:pPr>
    </w:p>
    <w:p w:rsidR="00933417" w:rsidRDefault="00933417" w:rsidP="009A2B22">
      <w:pPr>
        <w:jc w:val="both"/>
      </w:pPr>
    </w:p>
    <w:p w:rsidR="00933417" w:rsidRPr="00933417" w:rsidRDefault="00933417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jc w:val="both"/>
        <w:rPr>
          <w:b/>
        </w:rPr>
      </w:pPr>
      <w:r w:rsidRPr="00933417">
        <w:rPr>
          <w:b/>
        </w:rPr>
        <w:t xml:space="preserve">Przedmiot </w:t>
      </w:r>
      <w:r>
        <w:rPr>
          <w:b/>
        </w:rPr>
        <w:t>zamówienia</w:t>
      </w:r>
    </w:p>
    <w:p w:rsidR="00933417" w:rsidRDefault="00933417" w:rsidP="009A2B22">
      <w:pPr>
        <w:jc w:val="both"/>
      </w:pPr>
    </w:p>
    <w:p w:rsidR="00933417" w:rsidRPr="00F875BF" w:rsidRDefault="00933417" w:rsidP="009334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F875BF">
        <w:rPr>
          <w:rFonts w:eastAsiaTheme="minorHAnsi"/>
          <w:bCs/>
          <w:lang w:eastAsia="en-US"/>
        </w:rPr>
        <w:t>Przedmiot zamówienia podzielony został na części, które mogą być realizowane oddzielnie przez poszczególnych ekspertów:</w:t>
      </w:r>
    </w:p>
    <w:p w:rsidR="00933417" w:rsidRPr="00933417" w:rsidRDefault="00933417" w:rsidP="00933417">
      <w:pPr>
        <w:autoSpaceDE w:val="0"/>
        <w:autoSpaceDN w:val="0"/>
        <w:adjustRightInd w:val="0"/>
        <w:rPr>
          <w:rStyle w:val="Pogrubienie"/>
          <w:rFonts w:eastAsiaTheme="minorHAnsi"/>
          <w:lang w:eastAsia="en-US"/>
        </w:rPr>
      </w:pPr>
    </w:p>
    <w:p w:rsidR="00933417" w:rsidRDefault="00933417" w:rsidP="000624E1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Część. I. </w:t>
      </w:r>
      <w:r w:rsidR="000624E1">
        <w:t xml:space="preserve"> </w:t>
      </w:r>
      <w:r>
        <w:t>Opracowanie zasad transliteracji i transkrypcji</w:t>
      </w:r>
      <w:r w:rsidR="000624E1">
        <w:t xml:space="preserve"> nazw geograficznych dla języka </w:t>
      </w:r>
      <w:r w:rsidR="00BA2B0A">
        <w:rPr>
          <w:b/>
        </w:rPr>
        <w:t>chińskiego</w:t>
      </w:r>
      <w:r w:rsidR="00A3586E">
        <w:rPr>
          <w:b/>
        </w:rPr>
        <w:t>;</w:t>
      </w:r>
    </w:p>
    <w:p w:rsidR="00933417" w:rsidRDefault="000624E1" w:rsidP="000624E1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II.  </w:t>
      </w:r>
      <w:r w:rsidR="00933417">
        <w:t xml:space="preserve">Opracowanie zasad </w:t>
      </w:r>
      <w:bookmarkStart w:id="0" w:name="_GoBack"/>
      <w:bookmarkEnd w:id="0"/>
      <w:r w:rsidR="00933417">
        <w:t xml:space="preserve">transliteracji i transkrypcji nazw geograficznych dla języka </w:t>
      </w:r>
      <w:r w:rsidR="00BA2B0A">
        <w:rPr>
          <w:b/>
        </w:rPr>
        <w:t>tajskiego</w:t>
      </w:r>
      <w:r w:rsidR="00A3586E">
        <w:rPr>
          <w:b/>
        </w:rPr>
        <w:t>;</w:t>
      </w:r>
    </w:p>
    <w:p w:rsidR="00933417" w:rsidRPr="00B65744" w:rsidRDefault="00933417" w:rsidP="000624E1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III. </w:t>
      </w:r>
      <w:r w:rsidR="000624E1">
        <w:t xml:space="preserve"> </w:t>
      </w:r>
      <w:r>
        <w:t>Opracowanie zasad transliteracji i transkrypcji</w:t>
      </w:r>
      <w:r w:rsidR="000624E1">
        <w:t xml:space="preserve"> nazw geograficznych dla języka </w:t>
      </w:r>
      <w:r w:rsidR="00BA2B0A">
        <w:rPr>
          <w:b/>
        </w:rPr>
        <w:t>khmerskiego</w:t>
      </w:r>
      <w:r w:rsidR="00A3586E">
        <w:rPr>
          <w:b/>
        </w:rPr>
        <w:t>;</w:t>
      </w:r>
    </w:p>
    <w:p w:rsidR="00933417" w:rsidRPr="00B65744" w:rsidRDefault="00933417" w:rsidP="000624E1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IV. Opracowanie zasad transliteracji i transkrypcji nazw geograficznych dla języka </w:t>
      </w:r>
      <w:r w:rsidR="00BA2B0A">
        <w:rPr>
          <w:b/>
        </w:rPr>
        <w:t>laotańskiego</w:t>
      </w:r>
      <w:r w:rsidR="00A3586E">
        <w:rPr>
          <w:b/>
        </w:rPr>
        <w:t>;</w:t>
      </w:r>
    </w:p>
    <w:p w:rsidR="00933417" w:rsidRPr="0032330C" w:rsidRDefault="00933417" w:rsidP="009A2B22">
      <w:pPr>
        <w:jc w:val="both"/>
      </w:pPr>
    </w:p>
    <w:p w:rsidR="009A2B22" w:rsidRPr="00933417" w:rsidRDefault="009A2B22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284" w:hanging="284"/>
        <w:jc w:val="both"/>
        <w:rPr>
          <w:b/>
          <w:bCs/>
        </w:rPr>
      </w:pPr>
      <w:r w:rsidRPr="00933417">
        <w:rPr>
          <w:b/>
          <w:bCs/>
        </w:rPr>
        <w:t>Sposób opracowania zasad</w:t>
      </w:r>
    </w:p>
    <w:p w:rsidR="00933417" w:rsidRDefault="00933417" w:rsidP="00933417">
      <w:pPr>
        <w:pStyle w:val="Akapitzlist"/>
        <w:spacing w:before="120" w:after="120"/>
        <w:ind w:left="714"/>
        <w:contextualSpacing w:val="0"/>
        <w:jc w:val="both"/>
      </w:pPr>
    </w:p>
    <w:p w:rsidR="00A91EC5" w:rsidRPr="00A91EC5" w:rsidRDefault="00A91EC5" w:rsidP="0051414F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</w:pPr>
      <w:r w:rsidRPr="0032330C">
        <w:t xml:space="preserve">Zasady należy poprzedzić krótkim wstępem, w którym podane zostaną podstawowe informacje o 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B877D5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>Ponadto powinny być opisane zasady stosowania wielkich liter w latynizacji.</w:t>
      </w:r>
    </w:p>
    <w:p w:rsidR="00B877D5" w:rsidRDefault="00A91EC5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lastRenderedPageBreak/>
        <w:t xml:space="preserve">Zasady transkrypcji i transliteracji należy opracować na podstawie zasad zastosowanych przez Komisję Standaryzacji Nazw Geograficznych poza Granicami Rzeczypospolitej Polskiej przy Głównym Geodecie Kraju, dostępnych na stronie internetowej Komisji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877D5">
        <w:t xml:space="preserve"> </w:t>
      </w:r>
    </w:p>
    <w:p w:rsidR="00CD3F6E" w:rsidRDefault="009A2B22" w:rsidP="00F47C09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 xml:space="preserve">Każda ewentualna zmiana zastosowanego systemu transliteracji </w:t>
      </w:r>
      <w:r w:rsidR="00A91EC5">
        <w:t xml:space="preserve">i transkrypcji </w:t>
      </w:r>
      <w:r w:rsidR="00CD3F6E">
        <w:t>powinna zostać uzasadniona, a w tabeli podać zarówno dotychczas stosowaną transkrypcję, jak i proponowaną.</w:t>
      </w:r>
    </w:p>
    <w:p w:rsidR="00F47C09" w:rsidRDefault="00F47C09" w:rsidP="00933417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Wykonawca zobowiązany będzie do wyjaśnienia, weryfikacji lub uzupełnienia opracowanych zasad latynizacji po ewentualnych uwagach i zaleceniach Komisji Standaryzacji Nazw Geograficznych poza Granicami Rzeczypospolitej Polskiej. </w:t>
      </w:r>
    </w:p>
    <w:p w:rsidR="009A2B22" w:rsidRDefault="009A2B22" w:rsidP="00CD3F6E">
      <w:pPr>
        <w:spacing w:after="120"/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3</w:t>
      </w:r>
      <w:r w:rsidR="009A2B22">
        <w:rPr>
          <w:b/>
          <w:bCs/>
        </w:rPr>
        <w:t>. Uwagi szczegółowe</w:t>
      </w:r>
    </w:p>
    <w:p w:rsidR="00933417" w:rsidRDefault="00933417" w:rsidP="00933417">
      <w:pPr>
        <w:jc w:val="both"/>
      </w:pPr>
    </w:p>
    <w:p w:rsidR="00B877D5" w:rsidRDefault="009A2B22" w:rsidP="00933417">
      <w:pPr>
        <w:spacing w:before="120" w:after="120" w:line="276" w:lineRule="auto"/>
        <w:jc w:val="both"/>
      </w:pPr>
      <w:r>
        <w:t>Zasady transkrypcji i transliteracji należy opracować na podstawie zasad zastosowanych przez Komisję Standaryzacji Nazw Geograficznych poza Granicami Rzeczypospolitej Polskiej</w:t>
      </w:r>
      <w:r w:rsidR="004C1FE9">
        <w:t xml:space="preserve"> przy Głównym Geodecie Kraju</w:t>
      </w:r>
      <w:r>
        <w:t xml:space="preserve">, dostępnych na stronie internetowej Komisji: </w:t>
      </w:r>
      <w:hyperlink r:id="rId9" w:history="1">
        <w:r w:rsidRPr="0056421F">
          <w:rPr>
            <w:rStyle w:val="Hipercze"/>
          </w:rPr>
          <w:t>http://ksng.gugik.gov.pl/latynizacja.php</w:t>
        </w:r>
      </w:hyperlink>
      <w:r w:rsidR="004C1FE9">
        <w:t xml:space="preserve">. </w:t>
      </w:r>
      <w:r w:rsidR="00B877D5">
        <w:t xml:space="preserve">oraz w </w:t>
      </w:r>
      <w:r w:rsidR="00B877D5" w:rsidRPr="00B877D5">
        <w:rPr>
          <w:i/>
          <w:iCs/>
        </w:rPr>
        <w:t xml:space="preserve">Urzędowym wykazie nazw państw </w:t>
      </w:r>
      <w:r w:rsidR="00E9178A">
        <w:rPr>
          <w:i/>
          <w:iCs/>
        </w:rPr>
        <w:br/>
      </w:r>
      <w:r w:rsidR="00B877D5" w:rsidRPr="00B877D5">
        <w:rPr>
          <w:i/>
          <w:iCs/>
        </w:rPr>
        <w:t>i terytoriów niesamodzielnych</w:t>
      </w:r>
      <w:r w:rsidR="00B877D5">
        <w:t xml:space="preserve"> (dostępny na stronie </w:t>
      </w:r>
      <w:hyperlink r:id="rId10" w:history="1">
        <w:r w:rsidR="00B877D5">
          <w:rPr>
            <w:rStyle w:val="Hipercze"/>
          </w:rPr>
          <w:t>http://ksng.gugik.gov.pl/wykaz.php</w:t>
        </w:r>
      </w:hyperlink>
      <w:r w:rsidR="00B877D5">
        <w:t xml:space="preserve">), </w:t>
      </w:r>
      <w:r w:rsidR="00E9178A">
        <w:br/>
      </w:r>
      <w:r w:rsidR="00B877D5">
        <w:t>w szczególności:</w:t>
      </w:r>
    </w:p>
    <w:p w:rsidR="00281187" w:rsidRDefault="00281187" w:rsidP="0051414F">
      <w:pPr>
        <w:pStyle w:val="Akapitzlist"/>
        <w:numPr>
          <w:ilvl w:val="0"/>
          <w:numId w:val="6"/>
        </w:numPr>
        <w:spacing w:after="120"/>
        <w:ind w:left="709" w:hanging="283"/>
        <w:contextualSpacing w:val="0"/>
      </w:pPr>
      <w:r w:rsidRPr="00281187">
        <w:rPr>
          <w:b/>
        </w:rPr>
        <w:t>dla języka chińskiego</w:t>
      </w:r>
      <w:r>
        <w:t xml:space="preserve"> – system fonetyczny pinyin (Hànyǔ Pīnyīn) bez znaków tonalnych, zalecony przez ONZ w 1977 r. oraz (tylko dla Tajwanu) system Wade’a-Gilesa 1892</w:t>
      </w:r>
    </w:p>
    <w:p w:rsidR="00281187" w:rsidRDefault="00281187" w:rsidP="0051414F">
      <w:pPr>
        <w:pStyle w:val="Akapitzlist"/>
        <w:numPr>
          <w:ilvl w:val="0"/>
          <w:numId w:val="6"/>
        </w:numPr>
        <w:spacing w:after="120"/>
        <w:ind w:left="709" w:hanging="283"/>
        <w:contextualSpacing w:val="0"/>
      </w:pPr>
      <w:r>
        <w:rPr>
          <w:b/>
        </w:rPr>
        <w:t xml:space="preserve">dla języka tajskiego </w:t>
      </w:r>
      <w:r>
        <w:t xml:space="preserve">– </w:t>
      </w:r>
      <w:r w:rsidRPr="00281187">
        <w:t>zmodyfikowany system Królewskiego Instytutu Tajlandii, zalecony przez ONZ w 2002 r.</w:t>
      </w:r>
      <w:r>
        <w:t xml:space="preserve">, dostępny na stronie internetowej KSNG pod adresem: </w:t>
      </w:r>
      <w:hyperlink r:id="rId11" w:history="1">
        <w:r w:rsidRPr="00A9683E">
          <w:rPr>
            <w:rStyle w:val="Hipercze"/>
          </w:rPr>
          <w:t>http://ksng.gugik.gov.pl/pliki/latynizacja/tajski.pdf</w:t>
        </w:r>
      </w:hyperlink>
    </w:p>
    <w:p w:rsidR="00281187" w:rsidRDefault="00281187" w:rsidP="0051414F">
      <w:pPr>
        <w:pStyle w:val="Akapitzlist"/>
        <w:numPr>
          <w:ilvl w:val="0"/>
          <w:numId w:val="6"/>
        </w:numPr>
        <w:spacing w:after="120"/>
        <w:ind w:left="709" w:hanging="283"/>
        <w:contextualSpacing w:val="0"/>
      </w:pPr>
      <w:r w:rsidRPr="00281187">
        <w:rPr>
          <w:b/>
        </w:rPr>
        <w:t xml:space="preserve">dla języka khmerskiego </w:t>
      </w:r>
      <w:r>
        <w:t xml:space="preserve">– </w:t>
      </w:r>
      <w:r w:rsidRPr="00281187">
        <w:t xml:space="preserve">system BGN/PCGN 1972, zalecony przez ONZ </w:t>
      </w:r>
      <w:r w:rsidR="0051414F">
        <w:br/>
      </w:r>
      <w:r w:rsidRPr="00281187">
        <w:t>w 1972 r.</w:t>
      </w:r>
      <w:r>
        <w:t xml:space="preserve">, dostępny na stronie internetowej KSNG pod adresem: </w:t>
      </w:r>
      <w:hyperlink r:id="rId12" w:history="1">
        <w:r w:rsidRPr="00A9683E">
          <w:rPr>
            <w:rStyle w:val="Hipercze"/>
          </w:rPr>
          <w:t>http://ksng.gugik.gov.pl/pliki/latynizacja/khmerski.pdf</w:t>
        </w:r>
      </w:hyperlink>
    </w:p>
    <w:p w:rsidR="00281187" w:rsidRDefault="00281187" w:rsidP="0051414F">
      <w:pPr>
        <w:pStyle w:val="Akapitzlist"/>
        <w:numPr>
          <w:ilvl w:val="0"/>
          <w:numId w:val="6"/>
        </w:numPr>
        <w:spacing w:after="120"/>
        <w:ind w:left="709" w:hanging="283"/>
        <w:contextualSpacing w:val="0"/>
      </w:pPr>
      <w:r w:rsidRPr="00281187">
        <w:rPr>
          <w:b/>
        </w:rPr>
        <w:t xml:space="preserve">dla języka laotańskiego </w:t>
      </w:r>
      <w:r>
        <w:t xml:space="preserve">– </w:t>
      </w:r>
      <w:r w:rsidRPr="00281187">
        <w:t>system BGN/PCGN 1966</w:t>
      </w:r>
      <w:r>
        <w:t xml:space="preserve">, dostępny na stronie internetowej KSNG pod adresem: </w:t>
      </w:r>
      <w:hyperlink r:id="rId13" w:history="1">
        <w:r w:rsidRPr="00A9683E">
          <w:rPr>
            <w:rStyle w:val="Hipercze"/>
          </w:rPr>
          <w:t>http://ksng.gugik.gov.pl/pliki/latynizacja/laotanski.pdf</w:t>
        </w:r>
      </w:hyperlink>
    </w:p>
    <w:p w:rsidR="00CD3F6E" w:rsidRDefault="00CD3F6E" w:rsidP="00CD3F6E">
      <w:pPr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4</w:t>
      </w:r>
      <w:r w:rsidR="009A2B22">
        <w:rPr>
          <w:b/>
          <w:bCs/>
        </w:rPr>
        <w:t>. Przekazanie opracowania</w:t>
      </w:r>
    </w:p>
    <w:p w:rsidR="00933417" w:rsidRDefault="00933417" w:rsidP="00933417">
      <w:pPr>
        <w:jc w:val="both"/>
      </w:pPr>
    </w:p>
    <w:p w:rsidR="009A2B22" w:rsidRPr="0032330C" w:rsidRDefault="009A2B22" w:rsidP="00933417">
      <w:pPr>
        <w:spacing w:after="120"/>
        <w:jc w:val="both"/>
      </w:pPr>
      <w:r w:rsidRPr="0032330C">
        <w:t>Opracowane zasady transliteracji i transkrypcji nazw geograficznych powinny zostać przekazane w postaci</w:t>
      </w:r>
      <w:r w:rsidR="00E04744">
        <w:t xml:space="preserve"> elektronicznej w postaci: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51414F">
      <w:pPr>
        <w:numPr>
          <w:ilvl w:val="0"/>
          <w:numId w:val="2"/>
        </w:numPr>
        <w:spacing w:after="120" w:line="276" w:lineRule="auto"/>
        <w:ind w:left="714" w:hanging="357"/>
        <w:jc w:val="both"/>
      </w:pPr>
      <w:r w:rsidRPr="0032330C">
        <w:t>zapi</w:t>
      </w:r>
      <w:r>
        <w:t>su w dokumencie w formacie PDF,</w:t>
      </w:r>
    </w:p>
    <w:p w:rsidR="00933417" w:rsidRDefault="0051414F" w:rsidP="0051414F">
      <w:pPr>
        <w:spacing w:line="276" w:lineRule="auto"/>
        <w:jc w:val="both"/>
      </w:pPr>
      <w:r>
        <w:t>W</w:t>
      </w:r>
      <w:r w:rsidR="009A2B22" w:rsidRPr="0032330C">
        <w:t xml:space="preserve"> przypadku użycia niestandardowych liter (występujących w piśmie oryginalnym lub użytych do zapisu w transliteracji) należy dołączyć plik z danym fontem.</w:t>
      </w:r>
    </w:p>
    <w:p w:rsidR="0051414F" w:rsidRDefault="0051414F" w:rsidP="0051414F">
      <w:pPr>
        <w:spacing w:line="276" w:lineRule="auto"/>
        <w:jc w:val="both"/>
      </w:pPr>
    </w:p>
    <w:p w:rsidR="0051414F" w:rsidRDefault="0051414F" w:rsidP="0051414F">
      <w:pPr>
        <w:spacing w:line="276" w:lineRule="auto"/>
        <w:jc w:val="both"/>
      </w:pPr>
    </w:p>
    <w:p w:rsidR="0051414F" w:rsidRDefault="0051414F" w:rsidP="0051414F">
      <w:pPr>
        <w:spacing w:line="276" w:lineRule="auto"/>
        <w:jc w:val="both"/>
      </w:pPr>
    </w:p>
    <w:p w:rsidR="00AF6472" w:rsidRDefault="00AF6472" w:rsidP="009A2B22">
      <w:pPr>
        <w:jc w:val="both"/>
      </w:pPr>
    </w:p>
    <w:p w:rsidR="00053662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</w:rPr>
      </w:pPr>
      <w:r>
        <w:rPr>
          <w:b/>
        </w:rPr>
        <w:t>5</w:t>
      </w:r>
      <w:r w:rsidR="00AF6472">
        <w:rPr>
          <w:b/>
        </w:rPr>
        <w:t>. Dodatkowe informacje</w:t>
      </w:r>
    </w:p>
    <w:p w:rsidR="00053662" w:rsidRDefault="00053662" w:rsidP="009A2B22">
      <w:pPr>
        <w:jc w:val="both"/>
      </w:pPr>
    </w:p>
    <w:p w:rsidR="009A2B22" w:rsidRDefault="00AF39B6" w:rsidP="00933417">
      <w:pPr>
        <w:spacing w:line="276" w:lineRule="auto"/>
        <w:jc w:val="both"/>
      </w:pPr>
      <w:r>
        <w:t>Wzorcowymi przykładami</w:t>
      </w:r>
      <w:r w:rsidR="00053662">
        <w:t xml:space="preserve"> wykonania zasad latynizacji nazw geograficznych są opracowane </w:t>
      </w:r>
      <w:r>
        <w:br/>
      </w:r>
      <w:r w:rsidR="00053662">
        <w:t>i dostępne na stronie internetowej Komisji Standaryzacji Nazw Geograficznych poza Granicami Rzeczypospolitej Polskiej poniższe opracowania:</w:t>
      </w:r>
    </w:p>
    <w:p w:rsidR="00053662" w:rsidRPr="0096061D" w:rsidRDefault="00053662" w:rsidP="00933417">
      <w:pPr>
        <w:jc w:val="both"/>
        <w:rPr>
          <w:b/>
        </w:rPr>
      </w:pPr>
    </w:p>
    <w:p w:rsidR="004E603B" w:rsidRDefault="0096061D" w:rsidP="0051414F">
      <w:pPr>
        <w:numPr>
          <w:ilvl w:val="0"/>
          <w:numId w:val="5"/>
        </w:numPr>
        <w:spacing w:line="276" w:lineRule="auto"/>
        <w:ind w:hanging="294"/>
        <w:jc w:val="both"/>
      </w:pPr>
      <w:r>
        <w:t>„Z</w:t>
      </w:r>
      <w:r w:rsidR="009A2B22">
        <w:t>asad</w:t>
      </w:r>
      <w:r>
        <w:t>y latynizacji</w:t>
      </w:r>
      <w:r w:rsidR="004E603B">
        <w:t xml:space="preserve"> języka arabskiego”, dostępne na stronie internetowej KSNG </w:t>
      </w:r>
      <w:hyperlink r:id="rId14" w:history="1">
        <w:r w:rsidR="004E603B" w:rsidRPr="004546C4">
          <w:rPr>
            <w:rStyle w:val="Hipercze"/>
          </w:rPr>
          <w:t>http://ksng.gugik.gov.pl/pliki/latynizacja/arabski.pdf</w:t>
        </w:r>
      </w:hyperlink>
    </w:p>
    <w:p w:rsidR="004E603B" w:rsidRDefault="004E603B" w:rsidP="00933417">
      <w:pPr>
        <w:spacing w:line="276" w:lineRule="auto"/>
        <w:ind w:left="720"/>
        <w:jc w:val="both"/>
      </w:pPr>
    </w:p>
    <w:p w:rsidR="009A2B22" w:rsidRDefault="0096061D" w:rsidP="0051414F">
      <w:pPr>
        <w:numPr>
          <w:ilvl w:val="0"/>
          <w:numId w:val="5"/>
        </w:numPr>
        <w:spacing w:line="276" w:lineRule="auto"/>
        <w:ind w:hanging="294"/>
        <w:jc w:val="both"/>
      </w:pPr>
      <w:r>
        <w:t xml:space="preserve">„Zasady latynizacji języka hebrajskiego”, dostępne na stronie internetowej KSNG </w:t>
      </w:r>
      <w:hyperlink r:id="rId15" w:history="1">
        <w:r w:rsidRPr="004546C4">
          <w:rPr>
            <w:rStyle w:val="Hipercze"/>
          </w:rPr>
          <w:t>http://ksng.gugik.gov.pl/pliki/latynizacja/hebrajski.pdf</w:t>
        </w:r>
      </w:hyperlink>
    </w:p>
    <w:p w:rsidR="004E603B" w:rsidRDefault="004E603B" w:rsidP="00933417">
      <w:pPr>
        <w:spacing w:line="276" w:lineRule="auto"/>
        <w:jc w:val="both"/>
      </w:pPr>
    </w:p>
    <w:p w:rsidR="009A2B22" w:rsidRDefault="0096061D" w:rsidP="0051414F">
      <w:pPr>
        <w:numPr>
          <w:ilvl w:val="0"/>
          <w:numId w:val="5"/>
        </w:numPr>
        <w:spacing w:line="276" w:lineRule="auto"/>
        <w:ind w:hanging="294"/>
        <w:jc w:val="both"/>
      </w:pPr>
      <w:r>
        <w:t>„Zasady latynizacji alfabetu</w:t>
      </w:r>
      <w:r w:rsidR="009A2B22">
        <w:t xml:space="preserve"> łemko</w:t>
      </w:r>
      <w:r>
        <w:t xml:space="preserve">wskiego”, dostępne na stronie internetowej KSNG </w:t>
      </w:r>
      <w:hyperlink r:id="rId16" w:history="1">
        <w:r w:rsidRPr="004546C4">
          <w:rPr>
            <w:rStyle w:val="Hipercze"/>
          </w:rPr>
          <w:t>http://ksng.gugik.gov.pl/pliki/latynizacja/lemkowski.pdf</w:t>
        </w:r>
      </w:hyperlink>
    </w:p>
    <w:p w:rsidR="0096061D" w:rsidRPr="0032330C" w:rsidRDefault="0096061D" w:rsidP="00933417">
      <w:pPr>
        <w:spacing w:line="276" w:lineRule="auto"/>
        <w:ind w:left="720"/>
        <w:jc w:val="both"/>
      </w:pPr>
    </w:p>
    <w:p w:rsidR="009A2B22" w:rsidRPr="001C3712" w:rsidRDefault="009A2B22" w:rsidP="009A2B22">
      <w:pPr>
        <w:jc w:val="both"/>
      </w:pPr>
    </w:p>
    <w:p w:rsidR="00B2115D" w:rsidRDefault="00B2115D"/>
    <w:p w:rsidR="004E603B" w:rsidRDefault="004E603B"/>
    <w:p w:rsidR="004E603B" w:rsidRDefault="004E603B"/>
    <w:p w:rsidR="004E603B" w:rsidRDefault="004E603B"/>
    <w:p w:rsidR="004E603B" w:rsidRDefault="004E603B"/>
    <w:p w:rsidR="004E603B" w:rsidRDefault="004E603B" w:rsidP="004E603B"/>
    <w:sectPr w:rsidR="004E603B" w:rsidSect="0051414F">
      <w:footerReference w:type="defaul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28" w:rsidRDefault="00477028" w:rsidP="009A2B22">
      <w:r>
        <w:separator/>
      </w:r>
    </w:p>
  </w:endnote>
  <w:endnote w:type="continuationSeparator" w:id="0">
    <w:p w:rsidR="00477028" w:rsidRDefault="00477028" w:rsidP="009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122321"/>
      <w:docPartObj>
        <w:docPartGallery w:val="Page Numbers (Bottom of Page)"/>
        <w:docPartUnique/>
      </w:docPartObj>
    </w:sdtPr>
    <w:sdtEndPr/>
    <w:sdtContent>
      <w:p w:rsidR="009A2B22" w:rsidRDefault="00C57C4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7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22" w:rsidRDefault="009A2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28" w:rsidRDefault="00477028" w:rsidP="009A2B22">
      <w:r>
        <w:separator/>
      </w:r>
    </w:p>
  </w:footnote>
  <w:footnote w:type="continuationSeparator" w:id="0">
    <w:p w:rsidR="00477028" w:rsidRDefault="00477028" w:rsidP="009A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1C84"/>
    <w:multiLevelType w:val="hybridMultilevel"/>
    <w:tmpl w:val="6360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45E"/>
    <w:multiLevelType w:val="hybridMultilevel"/>
    <w:tmpl w:val="FB52232E"/>
    <w:lvl w:ilvl="0" w:tplc="FC5E523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56525"/>
    <w:multiLevelType w:val="hybridMultilevel"/>
    <w:tmpl w:val="5DF4F688"/>
    <w:lvl w:ilvl="0" w:tplc="60D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22"/>
    <w:rsid w:val="00007D4D"/>
    <w:rsid w:val="00016584"/>
    <w:rsid w:val="00031B2A"/>
    <w:rsid w:val="00053662"/>
    <w:rsid w:val="000624E1"/>
    <w:rsid w:val="0007602B"/>
    <w:rsid w:val="000967A6"/>
    <w:rsid w:val="000B44C1"/>
    <w:rsid w:val="000C20C8"/>
    <w:rsid w:val="00134E81"/>
    <w:rsid w:val="00184BF8"/>
    <w:rsid w:val="001B032A"/>
    <w:rsid w:val="001E2126"/>
    <w:rsid w:val="00270810"/>
    <w:rsid w:val="00281187"/>
    <w:rsid w:val="003301C2"/>
    <w:rsid w:val="00353F5A"/>
    <w:rsid w:val="00361762"/>
    <w:rsid w:val="003E2A0F"/>
    <w:rsid w:val="003F07F1"/>
    <w:rsid w:val="003F0B0C"/>
    <w:rsid w:val="004260A5"/>
    <w:rsid w:val="00477028"/>
    <w:rsid w:val="004A0A0E"/>
    <w:rsid w:val="004A2F47"/>
    <w:rsid w:val="004B5B37"/>
    <w:rsid w:val="004C1FE9"/>
    <w:rsid w:val="004E603B"/>
    <w:rsid w:val="0051414F"/>
    <w:rsid w:val="005155A9"/>
    <w:rsid w:val="005203E5"/>
    <w:rsid w:val="00650F6C"/>
    <w:rsid w:val="006C21C3"/>
    <w:rsid w:val="006C5347"/>
    <w:rsid w:val="006E1555"/>
    <w:rsid w:val="00726023"/>
    <w:rsid w:val="007D7BC0"/>
    <w:rsid w:val="007E3A6F"/>
    <w:rsid w:val="0087280B"/>
    <w:rsid w:val="008C19DB"/>
    <w:rsid w:val="00933417"/>
    <w:rsid w:val="009369B9"/>
    <w:rsid w:val="0096061D"/>
    <w:rsid w:val="00971C64"/>
    <w:rsid w:val="0099687F"/>
    <w:rsid w:val="009A2B22"/>
    <w:rsid w:val="009F2A7E"/>
    <w:rsid w:val="00A0424C"/>
    <w:rsid w:val="00A07D9C"/>
    <w:rsid w:val="00A3586E"/>
    <w:rsid w:val="00A91EC5"/>
    <w:rsid w:val="00AF39B6"/>
    <w:rsid w:val="00AF6472"/>
    <w:rsid w:val="00B0317F"/>
    <w:rsid w:val="00B2115D"/>
    <w:rsid w:val="00B877D5"/>
    <w:rsid w:val="00BA2B0A"/>
    <w:rsid w:val="00C24451"/>
    <w:rsid w:val="00C32C4A"/>
    <w:rsid w:val="00C57C49"/>
    <w:rsid w:val="00C70FFB"/>
    <w:rsid w:val="00C85845"/>
    <w:rsid w:val="00CD3F6E"/>
    <w:rsid w:val="00D815D1"/>
    <w:rsid w:val="00DB526E"/>
    <w:rsid w:val="00E04744"/>
    <w:rsid w:val="00E543E4"/>
    <w:rsid w:val="00E6539E"/>
    <w:rsid w:val="00E9178A"/>
    <w:rsid w:val="00ED4976"/>
    <w:rsid w:val="00F47C09"/>
    <w:rsid w:val="00F875BF"/>
    <w:rsid w:val="00FA1F5D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2309-C5CE-48AB-B3FC-259B209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93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hyperlink" Target="http://ksng.gugik.gov.pl/pliki/latynizacja/laotansk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ng.gugik.gov.pl/pliki/latynizacja/khmerski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sng.gugik.gov.pl/pliki/latynizacja/lemkowsk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ng.gugik.gov.pl/pliki/latynizacja/tajs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ng.gugik.gov.pl/pliki/latynizacja/hebrajski.pdf" TargetMode="External"/><Relationship Id="rId10" Type="http://schemas.openxmlformats.org/officeDocument/2006/relationships/hyperlink" Target="http://ksng.gugik.gov.pl/wykaz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latynizacja.php" TargetMode="External"/><Relationship Id="rId14" Type="http://schemas.openxmlformats.org/officeDocument/2006/relationships/hyperlink" Target="http://ksng.gugik.gov.pl/pliki/latynizacja/arab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CB8C-55E2-48FD-BF9F-9D335826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2021-06-14T11:22:00Z</dcterms:created>
  <dcterms:modified xsi:type="dcterms:W3CDTF">2021-06-14T13:04:00Z</dcterms:modified>
</cp:coreProperties>
</file>