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D3" w:rsidRPr="00781FD3" w:rsidRDefault="00781FD3" w:rsidP="00781FD3">
      <w:pPr>
        <w:spacing w:after="0"/>
        <w:jc w:val="right"/>
        <w:rPr>
          <w:sz w:val="24"/>
          <w:szCs w:val="24"/>
        </w:rPr>
      </w:pPr>
      <w:bookmarkStart w:id="0" w:name="_GoBack"/>
      <w:bookmarkEnd w:id="0"/>
      <w:r w:rsidRPr="00781FD3">
        <w:rPr>
          <w:sz w:val="24"/>
          <w:szCs w:val="24"/>
        </w:rPr>
        <w:t>Za</w:t>
      </w:r>
      <w:r>
        <w:rPr>
          <w:sz w:val="24"/>
          <w:szCs w:val="24"/>
        </w:rPr>
        <w:t>łącznik</w:t>
      </w:r>
      <w:r w:rsidRPr="00781FD3">
        <w:rPr>
          <w:sz w:val="24"/>
          <w:szCs w:val="24"/>
        </w:rPr>
        <w:t xml:space="preserve"> nr </w:t>
      </w:r>
      <w:r w:rsidR="0028284C">
        <w:rPr>
          <w:sz w:val="24"/>
          <w:szCs w:val="24"/>
        </w:rPr>
        <w:t>1</w:t>
      </w:r>
    </w:p>
    <w:p w:rsidR="00781FD3" w:rsidRPr="00781FD3" w:rsidRDefault="00781FD3" w:rsidP="00781FD3">
      <w:pPr>
        <w:spacing w:after="0"/>
        <w:jc w:val="right"/>
        <w:rPr>
          <w:sz w:val="24"/>
          <w:szCs w:val="24"/>
          <w:lang w:val="pl-PL"/>
        </w:rPr>
      </w:pPr>
      <w:r>
        <w:rPr>
          <w:sz w:val="24"/>
          <w:szCs w:val="24"/>
        </w:rPr>
        <w:t>d</w:t>
      </w:r>
      <w:r w:rsidRPr="00781FD3">
        <w:rPr>
          <w:sz w:val="24"/>
          <w:szCs w:val="24"/>
        </w:rPr>
        <w:t>o SOPZ</w:t>
      </w:r>
    </w:p>
    <w:p w:rsidR="00710E0C" w:rsidRDefault="006A3C21" w:rsidP="00710E0C">
      <w:pPr>
        <w:rPr>
          <w:lang w:val="pl-PL"/>
        </w:rPr>
      </w:pPr>
      <w:r>
        <w:rPr>
          <w:noProof/>
          <w:lang w:val="pl-PL" w:eastAsia="pl-PL"/>
        </w:rPr>
        <mc:AlternateContent>
          <mc:Choice Requires="wps">
            <w:drawing>
              <wp:anchor distT="0" distB="0" distL="114935" distR="114935" simplePos="0" relativeHeight="251657216" behindDoc="0" locked="0" layoutInCell="1" allowOverlap="1">
                <wp:simplePos x="0" y="0"/>
                <wp:positionH relativeFrom="margin">
                  <wp:posOffset>457835</wp:posOffset>
                </wp:positionH>
                <wp:positionV relativeFrom="paragraph">
                  <wp:posOffset>2641600</wp:posOffset>
                </wp:positionV>
                <wp:extent cx="5230495" cy="3021330"/>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302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E0C" w:rsidRDefault="00710E0C" w:rsidP="00710E0C">
                            <w:pPr>
                              <w:pStyle w:val="Nagwek2"/>
                              <w:ind w:left="360"/>
                              <w:jc w:val="right"/>
                              <w:rPr>
                                <w:i/>
                                <w:sz w:val="40"/>
                                <w:szCs w:val="40"/>
                              </w:rPr>
                            </w:pPr>
                          </w:p>
                          <w:p w:rsidR="00710E0C" w:rsidRPr="00F66139" w:rsidRDefault="00F66139" w:rsidP="00F66139">
                            <w:pPr>
                              <w:pStyle w:val="Bezodstpw"/>
                              <w:spacing w:after="100" w:line="276" w:lineRule="auto"/>
                              <w:jc w:val="right"/>
                              <w:rPr>
                                <w:rFonts w:ascii="Times New Roman" w:hAnsi="Times New Roman"/>
                                <w:sz w:val="40"/>
                                <w:szCs w:val="40"/>
                              </w:rPr>
                            </w:pPr>
                            <w:r w:rsidRPr="00F66139">
                              <w:rPr>
                                <w:rFonts w:ascii="Times New Roman" w:hAnsi="Times New Roman"/>
                                <w:sz w:val="40"/>
                                <w:szCs w:val="40"/>
                              </w:rPr>
                              <w:t>A</w:t>
                            </w:r>
                            <w:r w:rsidR="00710E0C" w:rsidRPr="00F66139">
                              <w:rPr>
                                <w:rFonts w:ascii="Times New Roman" w:hAnsi="Times New Roman"/>
                                <w:sz w:val="40"/>
                                <w:szCs w:val="40"/>
                              </w:rPr>
                              <w:t xml:space="preserve">rchitektura SIG </w:t>
                            </w:r>
                          </w:p>
                          <w:p w:rsidR="00710E0C" w:rsidRDefault="00710E0C" w:rsidP="00710E0C">
                            <w:pPr>
                              <w:pStyle w:val="Tytuynapierwszejstronie"/>
                              <w:spacing w:before="720"/>
                              <w:rPr>
                                <w:b/>
                                <w:i/>
                                <w:sz w:val="40"/>
                              </w:rPr>
                            </w:pPr>
                          </w:p>
                          <w:p w:rsidR="00710E0C" w:rsidRDefault="00710E0C" w:rsidP="00710E0C">
                            <w:pPr>
                              <w:pStyle w:val="Tytuynapierwszejstronie"/>
                              <w:rPr>
                                <w:b/>
                                <w:i/>
                                <w:sz w:val="32"/>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pStyle w:val="Tytuynapierwszejstronie"/>
                              <w:spacing w:before="720"/>
                              <w:rPr>
                                <w:b/>
                                <w:i/>
                                <w:sz w:val="32"/>
                                <w:lang w:val="nl-NL"/>
                              </w:rPr>
                            </w:pPr>
                          </w:p>
                          <w:p w:rsidR="00710E0C" w:rsidRPr="00E303D8" w:rsidRDefault="00710E0C" w:rsidP="00710E0C">
                            <w:pPr>
                              <w:rPr>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5pt;margin-top:208pt;width:411.85pt;height:237.9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" stroked="f">
                <v:textbox inset="0,0,0,0">
                  <w:txbxContent>
                    <w:p w:rsidR="00710E0C" w:rsidRDefault="00710E0C" w:rsidP="00710E0C">
                      <w:pPr>
                        <w:pStyle w:val="Nagwek2"/>
                        <w:ind w:left="360"/>
                        <w:jc w:val="right"/>
                        <w:rPr>
                          <w:i/>
                          <w:sz w:val="40"/>
                          <w:szCs w:val="40"/>
                        </w:rPr>
                      </w:pPr>
                    </w:p>
                    <w:p w:rsidR="00710E0C" w:rsidRPr="00F66139" w:rsidRDefault="00F66139" w:rsidP="00F66139">
                      <w:pPr>
                        <w:pStyle w:val="Bezodstpw"/>
                        <w:spacing w:after="100" w:line="276" w:lineRule="auto"/>
                        <w:jc w:val="right"/>
                        <w:rPr>
                          <w:rFonts w:ascii="Times New Roman" w:hAnsi="Times New Roman"/>
                          <w:sz w:val="40"/>
                          <w:szCs w:val="40"/>
                        </w:rPr>
                      </w:pPr>
                      <w:r w:rsidRPr="00F66139">
                        <w:rPr>
                          <w:rFonts w:ascii="Times New Roman" w:hAnsi="Times New Roman"/>
                          <w:sz w:val="40"/>
                          <w:szCs w:val="40"/>
                        </w:rPr>
                        <w:t>A</w:t>
                      </w:r>
                      <w:r w:rsidR="00710E0C" w:rsidRPr="00F66139">
                        <w:rPr>
                          <w:rFonts w:ascii="Times New Roman" w:hAnsi="Times New Roman"/>
                          <w:sz w:val="40"/>
                          <w:szCs w:val="40"/>
                        </w:rPr>
                        <w:t xml:space="preserve">rchitektura SIG </w:t>
                      </w:r>
                    </w:p>
                    <w:p w:rsidR="00710E0C" w:rsidRDefault="00710E0C" w:rsidP="00710E0C">
                      <w:pPr>
                        <w:pStyle w:val="Tytuynapierwszejstronie"/>
                        <w:spacing w:before="720"/>
                        <w:rPr>
                          <w:b/>
                          <w:i/>
                          <w:sz w:val="40"/>
                        </w:rPr>
                      </w:pPr>
                    </w:p>
                    <w:p w:rsidR="00710E0C" w:rsidRDefault="00710E0C" w:rsidP="00710E0C">
                      <w:pPr>
                        <w:pStyle w:val="Tytuynapierwszejstronie"/>
                        <w:rPr>
                          <w:b/>
                          <w:i/>
                          <w:sz w:val="32"/>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pStyle w:val="Tytuynapierwszejstronie"/>
                        <w:spacing w:before="720"/>
                        <w:rPr>
                          <w:b/>
                          <w:i/>
                          <w:sz w:val="32"/>
                          <w:lang w:val="nl-NL"/>
                        </w:rPr>
                      </w:pPr>
                    </w:p>
                    <w:p w:rsidR="00710E0C" w:rsidRPr="00E303D8" w:rsidRDefault="00710E0C" w:rsidP="00710E0C">
                      <w:pPr>
                        <w:rPr>
                          <w:lang w:val="pl-PL"/>
                        </w:rPr>
                      </w:pPr>
                    </w:p>
                  </w:txbxContent>
                </v:textbox>
                <w10:wrap anchorx="margin"/>
              </v:shape>
            </w:pict>
          </mc:Fallback>
        </mc:AlternateContent>
      </w:r>
      <w:r w:rsidR="00710E0C">
        <w:rPr>
          <w:lang w:val="pl-PL"/>
        </w:rPr>
        <w:br w:type="page"/>
      </w:r>
    </w:p>
    <w:p w:rsidR="00822D4B" w:rsidRDefault="00874679">
      <w:pPr>
        <w:pStyle w:val="Spistreci1"/>
        <w:tabs>
          <w:tab w:val="left" w:pos="440"/>
          <w:tab w:val="right" w:leader="dot" w:pos="9062"/>
        </w:tabs>
        <w:rPr>
          <w:rFonts w:asciiTheme="minorHAnsi" w:eastAsiaTheme="minorEastAsia" w:hAnsiTheme="minorHAnsi" w:cstheme="minorBidi"/>
          <w:noProof/>
          <w:lang w:eastAsia="pl-PL"/>
        </w:rPr>
      </w:pPr>
      <w:r>
        <w:lastRenderedPageBreak/>
        <w:fldChar w:fldCharType="begin"/>
      </w:r>
      <w:r w:rsidR="00710E0C">
        <w:instrText xml:space="preserve"> TOC \o "1-2" \h \z \u </w:instrText>
      </w:r>
      <w:r>
        <w:fldChar w:fldCharType="separate"/>
      </w:r>
      <w:hyperlink w:anchor="_Toc431811369" w:history="1">
        <w:r w:rsidR="00822D4B" w:rsidRPr="0069247F">
          <w:rPr>
            <w:rStyle w:val="Hipercze"/>
            <w:noProof/>
          </w:rPr>
          <w:t>1.</w:t>
        </w:r>
        <w:r w:rsidR="00822D4B">
          <w:rPr>
            <w:rFonts w:asciiTheme="minorHAnsi" w:eastAsiaTheme="minorEastAsia" w:hAnsiTheme="minorHAnsi" w:cstheme="minorBidi"/>
            <w:noProof/>
            <w:lang w:eastAsia="pl-PL"/>
          </w:rPr>
          <w:tab/>
        </w:r>
        <w:r w:rsidR="00822D4B" w:rsidRPr="0069247F">
          <w:rPr>
            <w:rStyle w:val="Hipercze"/>
            <w:noProof/>
          </w:rPr>
          <w:t>Wprowadzenie</w:t>
        </w:r>
        <w:r w:rsidR="00822D4B">
          <w:rPr>
            <w:noProof/>
            <w:webHidden/>
          </w:rPr>
          <w:tab/>
        </w:r>
        <w:r w:rsidR="00822D4B">
          <w:rPr>
            <w:noProof/>
            <w:webHidden/>
          </w:rPr>
          <w:fldChar w:fldCharType="begin"/>
        </w:r>
        <w:r w:rsidR="00822D4B">
          <w:rPr>
            <w:noProof/>
            <w:webHidden/>
          </w:rPr>
          <w:instrText xml:space="preserve"> PAGEREF _Toc431811369 \h </w:instrText>
        </w:r>
        <w:r w:rsidR="00822D4B">
          <w:rPr>
            <w:noProof/>
            <w:webHidden/>
          </w:rPr>
        </w:r>
        <w:r w:rsidR="00822D4B">
          <w:rPr>
            <w:noProof/>
            <w:webHidden/>
          </w:rPr>
          <w:fldChar w:fldCharType="separate"/>
        </w:r>
        <w:r w:rsidR="0013434B">
          <w:rPr>
            <w:noProof/>
            <w:webHidden/>
          </w:rPr>
          <w:t>3</w:t>
        </w:r>
        <w:r w:rsidR="00822D4B">
          <w:rPr>
            <w:noProof/>
            <w:webHidden/>
          </w:rPr>
          <w:fldChar w:fldCharType="end"/>
        </w:r>
      </w:hyperlink>
    </w:p>
    <w:p w:rsidR="00822D4B" w:rsidRDefault="008C1403">
      <w:pPr>
        <w:pStyle w:val="Spistreci2"/>
        <w:tabs>
          <w:tab w:val="left" w:pos="880"/>
          <w:tab w:val="right" w:leader="dot" w:pos="9062"/>
        </w:tabs>
        <w:rPr>
          <w:rFonts w:asciiTheme="minorHAnsi" w:eastAsiaTheme="minorEastAsia" w:hAnsiTheme="minorHAnsi" w:cstheme="minorBidi"/>
          <w:noProof/>
          <w:lang w:val="pl-PL" w:eastAsia="pl-PL"/>
        </w:rPr>
      </w:pPr>
      <w:hyperlink w:anchor="_Toc431811370" w:history="1">
        <w:r w:rsidR="00822D4B" w:rsidRPr="0069247F">
          <w:rPr>
            <w:rStyle w:val="Hipercze"/>
            <w:noProof/>
          </w:rPr>
          <w:t>1.1.</w:t>
        </w:r>
        <w:r w:rsidR="00822D4B">
          <w:rPr>
            <w:rFonts w:asciiTheme="minorHAnsi" w:eastAsiaTheme="minorEastAsia" w:hAnsiTheme="minorHAnsi" w:cstheme="minorBidi"/>
            <w:noProof/>
            <w:lang w:val="pl-PL" w:eastAsia="pl-PL"/>
          </w:rPr>
          <w:tab/>
        </w:r>
        <w:r w:rsidR="00822D4B" w:rsidRPr="0069247F">
          <w:rPr>
            <w:rStyle w:val="Hipercze"/>
            <w:noProof/>
          </w:rPr>
          <w:t>Cel dokumentu</w:t>
        </w:r>
        <w:r w:rsidR="00822D4B">
          <w:rPr>
            <w:noProof/>
            <w:webHidden/>
          </w:rPr>
          <w:tab/>
        </w:r>
        <w:r w:rsidR="00822D4B">
          <w:rPr>
            <w:noProof/>
            <w:webHidden/>
          </w:rPr>
          <w:fldChar w:fldCharType="begin"/>
        </w:r>
        <w:r w:rsidR="00822D4B">
          <w:rPr>
            <w:noProof/>
            <w:webHidden/>
          </w:rPr>
          <w:instrText xml:space="preserve"> PAGEREF _Toc431811370 \h </w:instrText>
        </w:r>
        <w:r w:rsidR="00822D4B">
          <w:rPr>
            <w:noProof/>
            <w:webHidden/>
          </w:rPr>
        </w:r>
        <w:r w:rsidR="00822D4B">
          <w:rPr>
            <w:noProof/>
            <w:webHidden/>
          </w:rPr>
          <w:fldChar w:fldCharType="separate"/>
        </w:r>
        <w:r w:rsidR="0013434B">
          <w:rPr>
            <w:noProof/>
            <w:webHidden/>
          </w:rPr>
          <w:t>3</w:t>
        </w:r>
        <w:r w:rsidR="00822D4B">
          <w:rPr>
            <w:noProof/>
            <w:webHidden/>
          </w:rPr>
          <w:fldChar w:fldCharType="end"/>
        </w:r>
      </w:hyperlink>
    </w:p>
    <w:p w:rsidR="00822D4B" w:rsidRDefault="008C1403">
      <w:pPr>
        <w:pStyle w:val="Spistreci2"/>
        <w:tabs>
          <w:tab w:val="left" w:pos="880"/>
          <w:tab w:val="right" w:leader="dot" w:pos="9062"/>
        </w:tabs>
        <w:rPr>
          <w:rFonts w:asciiTheme="minorHAnsi" w:eastAsiaTheme="minorEastAsia" w:hAnsiTheme="minorHAnsi" w:cstheme="minorBidi"/>
          <w:noProof/>
          <w:lang w:val="pl-PL" w:eastAsia="pl-PL"/>
        </w:rPr>
      </w:pPr>
      <w:hyperlink w:anchor="_Toc431811371" w:history="1">
        <w:r w:rsidR="00822D4B" w:rsidRPr="0069247F">
          <w:rPr>
            <w:rStyle w:val="Hipercze"/>
            <w:noProof/>
          </w:rPr>
          <w:t>1.2.</w:t>
        </w:r>
        <w:r w:rsidR="00822D4B">
          <w:rPr>
            <w:rFonts w:asciiTheme="minorHAnsi" w:eastAsiaTheme="minorEastAsia" w:hAnsiTheme="minorHAnsi" w:cstheme="minorBidi"/>
            <w:noProof/>
            <w:lang w:val="pl-PL" w:eastAsia="pl-PL"/>
          </w:rPr>
          <w:tab/>
        </w:r>
        <w:r w:rsidR="00822D4B" w:rsidRPr="0069247F">
          <w:rPr>
            <w:rStyle w:val="Hipercze"/>
            <w:noProof/>
          </w:rPr>
          <w:t>Słownik użytych terminów</w:t>
        </w:r>
        <w:r w:rsidR="00822D4B">
          <w:rPr>
            <w:noProof/>
            <w:webHidden/>
          </w:rPr>
          <w:tab/>
        </w:r>
        <w:r w:rsidR="00822D4B">
          <w:rPr>
            <w:noProof/>
            <w:webHidden/>
          </w:rPr>
          <w:fldChar w:fldCharType="begin"/>
        </w:r>
        <w:r w:rsidR="00822D4B">
          <w:rPr>
            <w:noProof/>
            <w:webHidden/>
          </w:rPr>
          <w:instrText xml:space="preserve"> PAGEREF _Toc431811371 \h </w:instrText>
        </w:r>
        <w:r w:rsidR="00822D4B">
          <w:rPr>
            <w:noProof/>
            <w:webHidden/>
          </w:rPr>
        </w:r>
        <w:r w:rsidR="00822D4B">
          <w:rPr>
            <w:noProof/>
            <w:webHidden/>
          </w:rPr>
          <w:fldChar w:fldCharType="separate"/>
        </w:r>
        <w:r w:rsidR="0013434B">
          <w:rPr>
            <w:noProof/>
            <w:webHidden/>
          </w:rPr>
          <w:t>3</w:t>
        </w:r>
        <w:r w:rsidR="00822D4B">
          <w:rPr>
            <w:noProof/>
            <w:webHidden/>
          </w:rPr>
          <w:fldChar w:fldCharType="end"/>
        </w:r>
      </w:hyperlink>
    </w:p>
    <w:p w:rsidR="00822D4B" w:rsidRDefault="008C1403">
      <w:pPr>
        <w:pStyle w:val="Spistreci1"/>
        <w:tabs>
          <w:tab w:val="left" w:pos="440"/>
          <w:tab w:val="right" w:leader="dot" w:pos="9062"/>
        </w:tabs>
        <w:rPr>
          <w:rFonts w:asciiTheme="minorHAnsi" w:eastAsiaTheme="minorEastAsia" w:hAnsiTheme="minorHAnsi" w:cstheme="minorBidi"/>
          <w:noProof/>
          <w:lang w:eastAsia="pl-PL"/>
        </w:rPr>
      </w:pPr>
      <w:hyperlink w:anchor="_Toc431811372" w:history="1">
        <w:r w:rsidR="00822D4B" w:rsidRPr="0069247F">
          <w:rPr>
            <w:rStyle w:val="Hipercze"/>
            <w:noProof/>
          </w:rPr>
          <w:t>2.</w:t>
        </w:r>
        <w:r w:rsidR="00822D4B">
          <w:rPr>
            <w:rFonts w:asciiTheme="minorHAnsi" w:eastAsiaTheme="minorEastAsia" w:hAnsiTheme="minorHAnsi" w:cstheme="minorBidi"/>
            <w:noProof/>
            <w:lang w:eastAsia="pl-PL"/>
          </w:rPr>
          <w:tab/>
        </w:r>
        <w:r w:rsidR="00822D4B" w:rsidRPr="0069247F">
          <w:rPr>
            <w:rStyle w:val="Hipercze"/>
            <w:noProof/>
          </w:rPr>
          <w:t>Architektura aplikacji</w:t>
        </w:r>
        <w:r w:rsidR="00822D4B">
          <w:rPr>
            <w:noProof/>
            <w:webHidden/>
          </w:rPr>
          <w:tab/>
        </w:r>
        <w:r w:rsidR="00822D4B">
          <w:rPr>
            <w:noProof/>
            <w:webHidden/>
          </w:rPr>
          <w:fldChar w:fldCharType="begin"/>
        </w:r>
        <w:r w:rsidR="00822D4B">
          <w:rPr>
            <w:noProof/>
            <w:webHidden/>
          </w:rPr>
          <w:instrText xml:space="preserve"> PAGEREF _Toc431811372 \h </w:instrText>
        </w:r>
        <w:r w:rsidR="00822D4B">
          <w:rPr>
            <w:noProof/>
            <w:webHidden/>
          </w:rPr>
        </w:r>
        <w:r w:rsidR="00822D4B">
          <w:rPr>
            <w:noProof/>
            <w:webHidden/>
          </w:rPr>
          <w:fldChar w:fldCharType="separate"/>
        </w:r>
        <w:r w:rsidR="0013434B">
          <w:rPr>
            <w:noProof/>
            <w:webHidden/>
          </w:rPr>
          <w:t>6</w:t>
        </w:r>
        <w:r w:rsidR="00822D4B">
          <w:rPr>
            <w:noProof/>
            <w:webHidden/>
          </w:rPr>
          <w:fldChar w:fldCharType="end"/>
        </w:r>
      </w:hyperlink>
    </w:p>
    <w:p w:rsidR="00822D4B" w:rsidRDefault="008C1403">
      <w:pPr>
        <w:pStyle w:val="Spistreci2"/>
        <w:tabs>
          <w:tab w:val="left" w:pos="880"/>
          <w:tab w:val="right" w:leader="dot" w:pos="9062"/>
        </w:tabs>
        <w:rPr>
          <w:rFonts w:asciiTheme="minorHAnsi" w:eastAsiaTheme="minorEastAsia" w:hAnsiTheme="minorHAnsi" w:cstheme="minorBidi"/>
          <w:noProof/>
          <w:lang w:val="pl-PL" w:eastAsia="pl-PL"/>
        </w:rPr>
      </w:pPr>
      <w:hyperlink w:anchor="_Toc431811373" w:history="1">
        <w:r w:rsidR="00822D4B" w:rsidRPr="0069247F">
          <w:rPr>
            <w:rStyle w:val="Hipercze"/>
            <w:noProof/>
          </w:rPr>
          <w:t>1.3.</w:t>
        </w:r>
        <w:r w:rsidR="00822D4B">
          <w:rPr>
            <w:rFonts w:asciiTheme="minorHAnsi" w:eastAsiaTheme="minorEastAsia" w:hAnsiTheme="minorHAnsi" w:cstheme="minorBidi"/>
            <w:noProof/>
            <w:lang w:val="pl-PL" w:eastAsia="pl-PL"/>
          </w:rPr>
          <w:tab/>
        </w:r>
        <w:r w:rsidR="00822D4B" w:rsidRPr="0069247F">
          <w:rPr>
            <w:rStyle w:val="Hipercze"/>
            <w:noProof/>
          </w:rPr>
          <w:t>Szyna usług Geoportal</w:t>
        </w:r>
        <w:r w:rsidR="00822D4B">
          <w:rPr>
            <w:noProof/>
            <w:webHidden/>
          </w:rPr>
          <w:tab/>
        </w:r>
        <w:r w:rsidR="00822D4B">
          <w:rPr>
            <w:noProof/>
            <w:webHidden/>
          </w:rPr>
          <w:fldChar w:fldCharType="begin"/>
        </w:r>
        <w:r w:rsidR="00822D4B">
          <w:rPr>
            <w:noProof/>
            <w:webHidden/>
          </w:rPr>
          <w:instrText xml:space="preserve"> PAGEREF _Toc431811373 \h </w:instrText>
        </w:r>
        <w:r w:rsidR="00822D4B">
          <w:rPr>
            <w:noProof/>
            <w:webHidden/>
          </w:rPr>
        </w:r>
        <w:r w:rsidR="00822D4B">
          <w:rPr>
            <w:noProof/>
            <w:webHidden/>
          </w:rPr>
          <w:fldChar w:fldCharType="separate"/>
        </w:r>
        <w:r w:rsidR="0013434B">
          <w:rPr>
            <w:noProof/>
            <w:webHidden/>
          </w:rPr>
          <w:t>8</w:t>
        </w:r>
        <w:r w:rsidR="00822D4B">
          <w:rPr>
            <w:noProof/>
            <w:webHidden/>
          </w:rPr>
          <w:fldChar w:fldCharType="end"/>
        </w:r>
      </w:hyperlink>
    </w:p>
    <w:p w:rsidR="00822D4B" w:rsidRDefault="008C1403">
      <w:pPr>
        <w:pStyle w:val="Spistreci2"/>
        <w:tabs>
          <w:tab w:val="left" w:pos="880"/>
          <w:tab w:val="right" w:leader="dot" w:pos="9062"/>
        </w:tabs>
        <w:rPr>
          <w:rFonts w:asciiTheme="minorHAnsi" w:eastAsiaTheme="minorEastAsia" w:hAnsiTheme="minorHAnsi" w:cstheme="minorBidi"/>
          <w:noProof/>
          <w:lang w:val="pl-PL" w:eastAsia="pl-PL"/>
        </w:rPr>
      </w:pPr>
      <w:hyperlink w:anchor="_Toc431811374" w:history="1">
        <w:r w:rsidR="00822D4B" w:rsidRPr="0069247F">
          <w:rPr>
            <w:rStyle w:val="Hipercze"/>
            <w:noProof/>
          </w:rPr>
          <w:t>1.4.</w:t>
        </w:r>
        <w:r w:rsidR="00822D4B">
          <w:rPr>
            <w:rFonts w:asciiTheme="minorHAnsi" w:eastAsiaTheme="minorEastAsia" w:hAnsiTheme="minorHAnsi" w:cstheme="minorBidi"/>
            <w:noProof/>
            <w:lang w:val="pl-PL" w:eastAsia="pl-PL"/>
          </w:rPr>
          <w:tab/>
        </w:r>
        <w:r w:rsidR="00822D4B" w:rsidRPr="0069247F">
          <w:rPr>
            <w:rStyle w:val="Hipercze"/>
            <w:noProof/>
          </w:rPr>
          <w:t>Systemy dziedzinowe</w:t>
        </w:r>
        <w:r w:rsidR="00822D4B">
          <w:rPr>
            <w:noProof/>
            <w:webHidden/>
          </w:rPr>
          <w:tab/>
        </w:r>
        <w:r w:rsidR="00822D4B">
          <w:rPr>
            <w:noProof/>
            <w:webHidden/>
          </w:rPr>
          <w:fldChar w:fldCharType="begin"/>
        </w:r>
        <w:r w:rsidR="00822D4B">
          <w:rPr>
            <w:noProof/>
            <w:webHidden/>
          </w:rPr>
          <w:instrText xml:space="preserve"> PAGEREF _Toc431811374 \h </w:instrText>
        </w:r>
        <w:r w:rsidR="00822D4B">
          <w:rPr>
            <w:noProof/>
            <w:webHidden/>
          </w:rPr>
        </w:r>
        <w:r w:rsidR="00822D4B">
          <w:rPr>
            <w:noProof/>
            <w:webHidden/>
          </w:rPr>
          <w:fldChar w:fldCharType="separate"/>
        </w:r>
        <w:r w:rsidR="0013434B">
          <w:rPr>
            <w:noProof/>
            <w:webHidden/>
          </w:rPr>
          <w:t>10</w:t>
        </w:r>
        <w:r w:rsidR="00822D4B">
          <w:rPr>
            <w:noProof/>
            <w:webHidden/>
          </w:rPr>
          <w:fldChar w:fldCharType="end"/>
        </w:r>
      </w:hyperlink>
    </w:p>
    <w:p w:rsidR="00822D4B" w:rsidRDefault="008C1403">
      <w:pPr>
        <w:pStyle w:val="Spistreci2"/>
        <w:tabs>
          <w:tab w:val="left" w:pos="880"/>
          <w:tab w:val="right" w:leader="dot" w:pos="9062"/>
        </w:tabs>
        <w:rPr>
          <w:rFonts w:asciiTheme="minorHAnsi" w:eastAsiaTheme="minorEastAsia" w:hAnsiTheme="minorHAnsi" w:cstheme="minorBidi"/>
          <w:noProof/>
          <w:lang w:val="pl-PL" w:eastAsia="pl-PL"/>
        </w:rPr>
      </w:pPr>
      <w:hyperlink w:anchor="_Toc431811375" w:history="1">
        <w:r w:rsidR="00822D4B" w:rsidRPr="0069247F">
          <w:rPr>
            <w:rStyle w:val="Hipercze"/>
            <w:noProof/>
          </w:rPr>
          <w:t>1.5.</w:t>
        </w:r>
        <w:r w:rsidR="00822D4B">
          <w:rPr>
            <w:rFonts w:asciiTheme="minorHAnsi" w:eastAsiaTheme="minorEastAsia" w:hAnsiTheme="minorHAnsi" w:cstheme="minorBidi"/>
            <w:noProof/>
            <w:lang w:val="pl-PL" w:eastAsia="pl-PL"/>
          </w:rPr>
          <w:tab/>
        </w:r>
        <w:r w:rsidR="00822D4B" w:rsidRPr="0069247F">
          <w:rPr>
            <w:rStyle w:val="Hipercze"/>
            <w:noProof/>
          </w:rPr>
          <w:t>ePUAP</w:t>
        </w:r>
        <w:r w:rsidR="00822D4B">
          <w:rPr>
            <w:noProof/>
            <w:webHidden/>
          </w:rPr>
          <w:tab/>
        </w:r>
        <w:r w:rsidR="00822D4B">
          <w:rPr>
            <w:noProof/>
            <w:webHidden/>
          </w:rPr>
          <w:fldChar w:fldCharType="begin"/>
        </w:r>
        <w:r w:rsidR="00822D4B">
          <w:rPr>
            <w:noProof/>
            <w:webHidden/>
          </w:rPr>
          <w:instrText xml:space="preserve"> PAGEREF _Toc431811375 \h </w:instrText>
        </w:r>
        <w:r w:rsidR="00822D4B">
          <w:rPr>
            <w:noProof/>
            <w:webHidden/>
          </w:rPr>
        </w:r>
        <w:r w:rsidR="00822D4B">
          <w:rPr>
            <w:noProof/>
            <w:webHidden/>
          </w:rPr>
          <w:fldChar w:fldCharType="separate"/>
        </w:r>
        <w:r w:rsidR="0013434B">
          <w:rPr>
            <w:noProof/>
            <w:webHidden/>
          </w:rPr>
          <w:t>13</w:t>
        </w:r>
        <w:r w:rsidR="00822D4B">
          <w:rPr>
            <w:noProof/>
            <w:webHidden/>
          </w:rPr>
          <w:fldChar w:fldCharType="end"/>
        </w:r>
      </w:hyperlink>
    </w:p>
    <w:p w:rsidR="00822D4B" w:rsidRDefault="008C1403">
      <w:pPr>
        <w:pStyle w:val="Spistreci1"/>
        <w:tabs>
          <w:tab w:val="left" w:pos="440"/>
          <w:tab w:val="right" w:leader="dot" w:pos="9062"/>
        </w:tabs>
        <w:rPr>
          <w:rFonts w:asciiTheme="minorHAnsi" w:eastAsiaTheme="minorEastAsia" w:hAnsiTheme="minorHAnsi" w:cstheme="minorBidi"/>
          <w:noProof/>
          <w:lang w:eastAsia="pl-PL"/>
        </w:rPr>
      </w:pPr>
      <w:hyperlink w:anchor="_Toc431811376" w:history="1">
        <w:r w:rsidR="00822D4B" w:rsidRPr="0069247F">
          <w:rPr>
            <w:rStyle w:val="Hipercze"/>
            <w:noProof/>
          </w:rPr>
          <w:t>3.</w:t>
        </w:r>
        <w:r w:rsidR="00822D4B">
          <w:rPr>
            <w:rFonts w:asciiTheme="minorHAnsi" w:eastAsiaTheme="minorEastAsia" w:hAnsiTheme="minorHAnsi" w:cstheme="minorBidi"/>
            <w:noProof/>
            <w:lang w:eastAsia="pl-PL"/>
          </w:rPr>
          <w:tab/>
        </w:r>
        <w:r w:rsidR="00822D4B" w:rsidRPr="0069247F">
          <w:rPr>
            <w:rStyle w:val="Hipercze"/>
            <w:noProof/>
          </w:rPr>
          <w:t>Architektura danych</w:t>
        </w:r>
        <w:r w:rsidR="00822D4B">
          <w:rPr>
            <w:noProof/>
            <w:webHidden/>
          </w:rPr>
          <w:tab/>
        </w:r>
        <w:r w:rsidR="00822D4B">
          <w:rPr>
            <w:noProof/>
            <w:webHidden/>
          </w:rPr>
          <w:fldChar w:fldCharType="begin"/>
        </w:r>
        <w:r w:rsidR="00822D4B">
          <w:rPr>
            <w:noProof/>
            <w:webHidden/>
          </w:rPr>
          <w:instrText xml:space="preserve"> PAGEREF _Toc431811376 \h </w:instrText>
        </w:r>
        <w:r w:rsidR="00822D4B">
          <w:rPr>
            <w:noProof/>
            <w:webHidden/>
          </w:rPr>
        </w:r>
        <w:r w:rsidR="00822D4B">
          <w:rPr>
            <w:noProof/>
            <w:webHidden/>
          </w:rPr>
          <w:fldChar w:fldCharType="separate"/>
        </w:r>
        <w:r w:rsidR="0013434B">
          <w:rPr>
            <w:noProof/>
            <w:webHidden/>
          </w:rPr>
          <w:t>14</w:t>
        </w:r>
        <w:r w:rsidR="00822D4B">
          <w:rPr>
            <w:noProof/>
            <w:webHidden/>
          </w:rPr>
          <w:fldChar w:fldCharType="end"/>
        </w:r>
      </w:hyperlink>
    </w:p>
    <w:p w:rsidR="00822D4B" w:rsidRDefault="008C1403">
      <w:pPr>
        <w:pStyle w:val="Spistreci1"/>
        <w:tabs>
          <w:tab w:val="left" w:pos="440"/>
          <w:tab w:val="right" w:leader="dot" w:pos="9062"/>
        </w:tabs>
        <w:rPr>
          <w:rFonts w:asciiTheme="minorHAnsi" w:eastAsiaTheme="minorEastAsia" w:hAnsiTheme="minorHAnsi" w:cstheme="minorBidi"/>
          <w:noProof/>
          <w:lang w:eastAsia="pl-PL"/>
        </w:rPr>
      </w:pPr>
      <w:hyperlink w:anchor="_Toc431811377" w:history="1">
        <w:r w:rsidR="00822D4B" w:rsidRPr="0069247F">
          <w:rPr>
            <w:rStyle w:val="Hipercze"/>
            <w:noProof/>
          </w:rPr>
          <w:t>4.</w:t>
        </w:r>
        <w:r w:rsidR="00822D4B">
          <w:rPr>
            <w:rFonts w:asciiTheme="minorHAnsi" w:eastAsiaTheme="minorEastAsia" w:hAnsiTheme="minorHAnsi" w:cstheme="minorBidi"/>
            <w:noProof/>
            <w:lang w:eastAsia="pl-PL"/>
          </w:rPr>
          <w:tab/>
        </w:r>
        <w:r w:rsidR="00822D4B" w:rsidRPr="0069247F">
          <w:rPr>
            <w:rStyle w:val="Hipercze"/>
            <w:noProof/>
          </w:rPr>
          <w:t>Architektura technologiczna</w:t>
        </w:r>
        <w:r w:rsidR="00822D4B">
          <w:rPr>
            <w:noProof/>
            <w:webHidden/>
          </w:rPr>
          <w:tab/>
        </w:r>
        <w:r w:rsidR="00822D4B">
          <w:rPr>
            <w:noProof/>
            <w:webHidden/>
          </w:rPr>
          <w:fldChar w:fldCharType="begin"/>
        </w:r>
        <w:r w:rsidR="00822D4B">
          <w:rPr>
            <w:noProof/>
            <w:webHidden/>
          </w:rPr>
          <w:instrText xml:space="preserve"> PAGEREF _Toc431811377 \h </w:instrText>
        </w:r>
        <w:r w:rsidR="00822D4B">
          <w:rPr>
            <w:noProof/>
            <w:webHidden/>
          </w:rPr>
        </w:r>
        <w:r w:rsidR="00822D4B">
          <w:rPr>
            <w:noProof/>
            <w:webHidden/>
          </w:rPr>
          <w:fldChar w:fldCharType="separate"/>
        </w:r>
        <w:r w:rsidR="0013434B">
          <w:rPr>
            <w:noProof/>
            <w:webHidden/>
          </w:rPr>
          <w:t>15</w:t>
        </w:r>
        <w:r w:rsidR="00822D4B">
          <w:rPr>
            <w:noProof/>
            <w:webHidden/>
          </w:rPr>
          <w:fldChar w:fldCharType="end"/>
        </w:r>
      </w:hyperlink>
    </w:p>
    <w:p w:rsidR="00710E0C" w:rsidRDefault="00874679" w:rsidP="00710E0C">
      <w:pPr>
        <w:rPr>
          <w:lang w:val="pl-PL"/>
        </w:rPr>
      </w:pPr>
      <w:r>
        <w:rPr>
          <w:lang w:val="pl-PL"/>
        </w:rPr>
        <w:fldChar w:fldCharType="end"/>
      </w:r>
    </w:p>
    <w:p w:rsidR="00710E0C" w:rsidRDefault="00710E0C" w:rsidP="00710E0C">
      <w:pPr>
        <w:rPr>
          <w:lang w:val="pl-PL"/>
        </w:rPr>
      </w:pPr>
    </w:p>
    <w:p w:rsidR="00710E0C" w:rsidRDefault="00710E0C" w:rsidP="00710E0C">
      <w:pPr>
        <w:pStyle w:val="Nagwek1"/>
        <w:keepLines w:val="0"/>
        <w:pageBreakBefore/>
        <w:tabs>
          <w:tab w:val="num" w:pos="224"/>
          <w:tab w:val="left" w:pos="567"/>
        </w:tabs>
        <w:suppressAutoHyphens/>
        <w:spacing w:before="240" w:after="320"/>
        <w:ind w:left="227" w:hanging="227"/>
      </w:pPr>
      <w:bookmarkStart w:id="1" w:name="_Toc350513674"/>
      <w:bookmarkStart w:id="2" w:name="_Toc431811369"/>
      <w:r w:rsidRPr="00660709">
        <w:lastRenderedPageBreak/>
        <w:t>Wprowadzenie</w:t>
      </w:r>
      <w:bookmarkEnd w:id="1"/>
      <w:bookmarkEnd w:id="2"/>
    </w:p>
    <w:p w:rsidR="00710E0C" w:rsidRDefault="00710E0C" w:rsidP="00710E0C">
      <w:pPr>
        <w:pStyle w:val="Nagwek2"/>
        <w:keepNext/>
        <w:keepLines/>
        <w:numPr>
          <w:ilvl w:val="1"/>
          <w:numId w:val="9"/>
        </w:numPr>
        <w:tabs>
          <w:tab w:val="left" w:pos="567"/>
          <w:tab w:val="num" w:pos="1220"/>
        </w:tabs>
        <w:suppressAutoHyphens/>
        <w:spacing w:before="240" w:after="240"/>
        <w:ind w:left="0" w:firstLine="0"/>
      </w:pPr>
      <w:bookmarkStart w:id="3" w:name="_Toc350513675"/>
      <w:bookmarkStart w:id="4" w:name="_Toc431811370"/>
      <w:r w:rsidRPr="00660709">
        <w:t>Cel dokumentu</w:t>
      </w:r>
      <w:bookmarkEnd w:id="3"/>
      <w:bookmarkEnd w:id="4"/>
    </w:p>
    <w:p w:rsidR="00710E0C" w:rsidRPr="00710E0C" w:rsidRDefault="00710E0C" w:rsidP="00710E0C">
      <w:pPr>
        <w:rPr>
          <w:lang w:val="pl-PL" w:eastAsia="pl-PL"/>
        </w:rPr>
      </w:pPr>
      <w:r w:rsidRPr="00710E0C">
        <w:rPr>
          <w:lang w:val="pl-PL" w:eastAsia="pl-PL"/>
        </w:rPr>
        <w:t>Celem dokumentu jest przedstawienie ogólnych wymaganiach dla projektowania i konstrukcji systemów informatycznych realizowanych przez GUGiK.</w:t>
      </w:r>
    </w:p>
    <w:p w:rsidR="00710E0C" w:rsidRPr="002F35DC" w:rsidRDefault="00710E0C" w:rsidP="00710E0C">
      <w:pPr>
        <w:pStyle w:val="Nagwek2"/>
        <w:keepNext/>
        <w:keepLines/>
        <w:numPr>
          <w:ilvl w:val="1"/>
          <w:numId w:val="9"/>
        </w:numPr>
        <w:suppressAutoHyphens/>
        <w:spacing w:before="240" w:after="240"/>
        <w:ind w:left="576" w:hanging="576"/>
        <w:jc w:val="both"/>
      </w:pPr>
      <w:bookmarkStart w:id="5" w:name="_Toc299474155"/>
      <w:bookmarkStart w:id="6" w:name="_Toc299711217"/>
      <w:bookmarkStart w:id="7" w:name="_Toc302136827"/>
      <w:bookmarkStart w:id="8" w:name="_Toc350513676"/>
      <w:bookmarkStart w:id="9" w:name="_Toc431811371"/>
      <w:bookmarkEnd w:id="5"/>
      <w:bookmarkEnd w:id="6"/>
      <w:r w:rsidRPr="002F35DC">
        <w:t>Słownik użytych terminów</w:t>
      </w:r>
      <w:bookmarkEnd w:id="7"/>
      <w:bookmarkEnd w:id="8"/>
      <w:bookmarkEnd w:id="9"/>
    </w:p>
    <w:p w:rsidR="00710E0C" w:rsidRDefault="00710E0C" w:rsidP="00710E0C">
      <w:pPr>
        <w:pStyle w:val="Legenda"/>
      </w:pPr>
      <w:r>
        <w:t xml:space="preserve">Tabela </w:t>
      </w:r>
      <w:fldSimple w:instr=" SEQ Tabela \* ARABIC ">
        <w:r>
          <w:rPr>
            <w:noProof/>
          </w:rPr>
          <w:t>1</w:t>
        </w:r>
      </w:fldSimple>
      <w:r>
        <w:t xml:space="preserve"> </w:t>
      </w:r>
      <w:r w:rsidRPr="000206BA">
        <w:rPr>
          <w:noProof/>
        </w:rPr>
        <w:t>Zastosowane pojęcia i skróty</w:t>
      </w:r>
    </w:p>
    <w:tbl>
      <w:tblPr>
        <w:tblW w:w="7938" w:type="dxa"/>
        <w:tblBorders>
          <w:top w:val="single" w:sz="6" w:space="0" w:color="8B8178"/>
          <w:left w:val="single" w:sz="6" w:space="0" w:color="8B8178"/>
          <w:bottom w:val="single" w:sz="6" w:space="0" w:color="8B8178"/>
          <w:right w:val="single" w:sz="6" w:space="0" w:color="8B8178"/>
          <w:insideH w:val="single" w:sz="6" w:space="0" w:color="8B8178"/>
          <w:insideV w:val="single" w:sz="6" w:space="0" w:color="8B8178"/>
        </w:tblBorders>
        <w:tblLook w:val="00A0" w:firstRow="1" w:lastRow="0" w:firstColumn="1" w:lastColumn="0" w:noHBand="0" w:noVBand="0"/>
      </w:tblPr>
      <w:tblGrid>
        <w:gridCol w:w="2346"/>
        <w:gridCol w:w="5592"/>
      </w:tblGrid>
      <w:tr w:rsidR="00710E0C" w:rsidRPr="007F4AAF" w:rsidTr="006D7592">
        <w:trPr>
          <w:cantSplit/>
          <w:tblHeader/>
        </w:trPr>
        <w:tc>
          <w:tcPr>
            <w:tcW w:w="2346" w:type="dxa"/>
            <w:tcBorders>
              <w:top w:val="single" w:sz="6" w:space="0" w:color="8B8178"/>
              <w:left w:val="single" w:sz="6" w:space="0" w:color="8B8178"/>
              <w:bottom w:val="single" w:sz="6" w:space="0" w:color="8B8178"/>
              <w:right w:val="single" w:sz="6" w:space="0" w:color="8B8178"/>
            </w:tcBorders>
            <w:shd w:val="clear" w:color="auto" w:fill="CCCCCC"/>
          </w:tcPr>
          <w:p w:rsidR="00710E0C" w:rsidRPr="00AB552C" w:rsidRDefault="00710E0C" w:rsidP="006D7592">
            <w:pPr>
              <w:pStyle w:val="tabelanaglowek"/>
              <w:rPr>
                <w:sz w:val="20"/>
                <w:lang w:eastAsia="pl-PL"/>
              </w:rPr>
            </w:pPr>
            <w:r w:rsidRPr="00AB552C">
              <w:rPr>
                <w:sz w:val="20"/>
                <w:lang w:eastAsia="pl-PL"/>
              </w:rPr>
              <w:t>Pojęcie</w:t>
            </w:r>
          </w:p>
        </w:tc>
        <w:tc>
          <w:tcPr>
            <w:tcW w:w="5592" w:type="dxa"/>
            <w:tcBorders>
              <w:top w:val="single" w:sz="6" w:space="0" w:color="8B8178"/>
              <w:left w:val="single" w:sz="6" w:space="0" w:color="8B8178"/>
              <w:bottom w:val="single" w:sz="6" w:space="0" w:color="8B8178"/>
              <w:right w:val="single" w:sz="6" w:space="0" w:color="8B8178"/>
            </w:tcBorders>
            <w:shd w:val="clear" w:color="auto" w:fill="CCCCCC"/>
          </w:tcPr>
          <w:p w:rsidR="00710E0C" w:rsidRPr="00AB552C" w:rsidRDefault="00710E0C" w:rsidP="006D7592">
            <w:pPr>
              <w:pStyle w:val="tabelanaglowek"/>
              <w:rPr>
                <w:sz w:val="20"/>
                <w:lang w:eastAsia="pl-PL"/>
              </w:rPr>
            </w:pPr>
            <w:r w:rsidRPr="00AB552C">
              <w:rPr>
                <w:sz w:val="20"/>
                <w:lang w:eastAsia="pl-PL"/>
              </w:rPr>
              <w:t>Definicja</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API</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val="en-US" w:eastAsia="pl-PL"/>
              </w:rPr>
              <w:t>Application Programming Interface - interfejs programowania aplikacji.</w:t>
            </w:r>
            <w:r>
              <w:rPr>
                <w:b w:val="0"/>
                <w:sz w:val="20"/>
                <w:lang w:val="en-US" w:eastAsia="pl-PL"/>
              </w:rPr>
              <w:t xml:space="preserve"> </w:t>
            </w:r>
            <w:r w:rsidRPr="000B10DA">
              <w:rPr>
                <w:b w:val="0"/>
                <w:sz w:val="20"/>
                <w:lang w:eastAsia="pl-PL"/>
              </w:rPr>
              <w:t>Za pomocą API wykonywana jest komunikacja między programami i aplikacjami, zawiera ona ściśle określony zestaw reguł i ich opisów, w jaki programy komunikują się między sobą.</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CODGiK</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Centralny Ośrodek Dokumentacji Geodezyjnej i Kartograficznej w Warszawie</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Default="00710E0C" w:rsidP="006D7592">
            <w:pPr>
              <w:pStyle w:val="tabelanaglowek"/>
              <w:rPr>
                <w:b w:val="0"/>
                <w:sz w:val="20"/>
                <w:lang w:eastAsia="pl-PL"/>
              </w:rPr>
            </w:pPr>
            <w:r w:rsidRPr="00915C4E">
              <w:rPr>
                <w:b w:val="0"/>
                <w:sz w:val="20"/>
                <w:lang w:eastAsia="pl-PL"/>
              </w:rPr>
              <w:t>EjOPS</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Liczba </w:t>
            </w:r>
            <w:r w:rsidRPr="00430FF4">
              <w:rPr>
                <w:b w:val="0"/>
                <w:sz w:val="20"/>
                <w:lang w:eastAsia="pl-PL"/>
              </w:rPr>
              <w:t>operacji biznesowych na sekundę mierzonej wskaźnikiem SPECjEnterprise2010</w:t>
            </w:r>
            <w:r>
              <w:rPr>
                <w:b w:val="0"/>
                <w:sz w:val="20"/>
                <w:lang w:eastAsia="pl-PL"/>
              </w:rPr>
              <w:t xml:space="preserve"> - </w:t>
            </w:r>
            <w:hyperlink r:id="rId7" w:history="1">
              <w:r w:rsidRPr="007F4AAF">
                <w:rPr>
                  <w:rStyle w:val="Hipercze"/>
                  <w:b w:val="0"/>
                  <w:sz w:val="20"/>
                  <w:lang w:eastAsia="pl-PL"/>
                </w:rPr>
                <w:t>http://www.spec.org/jEnterprise2010/</w:t>
              </w:r>
            </w:hyperlink>
            <w:r>
              <w:rPr>
                <w:b w:val="0"/>
                <w:sz w:val="20"/>
                <w:lang w:eastAsia="pl-PL"/>
              </w:rPr>
              <w:t xml:space="preserve"> </w:t>
            </w:r>
          </w:p>
        </w:tc>
      </w:tr>
      <w:tr w:rsidR="00607847"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607847" w:rsidRPr="0000517B" w:rsidRDefault="00607847" w:rsidP="006D7592">
            <w:pPr>
              <w:pStyle w:val="tabelanaglowek"/>
              <w:rPr>
                <w:b w:val="0"/>
                <w:sz w:val="20"/>
                <w:lang w:eastAsia="pl-PL"/>
              </w:rPr>
            </w:pPr>
            <w:r w:rsidRPr="0000517B">
              <w:rPr>
                <w:b w:val="0"/>
                <w:sz w:val="20"/>
                <w:lang w:eastAsia="pl-PL"/>
              </w:rPr>
              <w:t>Projekt CAPAP</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974D74" w:rsidP="006D7592">
            <w:pPr>
              <w:pStyle w:val="tabelanaglowek"/>
              <w:rPr>
                <w:b w:val="0"/>
                <w:sz w:val="20"/>
                <w:lang w:eastAsia="pl-PL"/>
              </w:rPr>
            </w:pPr>
            <w:r w:rsidRPr="00974D74">
              <w:rPr>
                <w:b w:val="0"/>
                <w:sz w:val="20"/>
                <w:lang w:eastAsia="pl-PL"/>
              </w:rPr>
              <w:t>Projekt Centrum Analiz Przestrzennych Administracji Publicznej</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Projekt </w:t>
            </w:r>
            <w:r w:rsidRPr="000B10DA">
              <w:rPr>
                <w:b w:val="0"/>
                <w:sz w:val="20"/>
                <w:lang w:eastAsia="pl-PL"/>
              </w:rPr>
              <w:t>G</w:t>
            </w:r>
            <w:r>
              <w:rPr>
                <w:b w:val="0"/>
                <w:sz w:val="20"/>
                <w:lang w:eastAsia="pl-PL"/>
              </w:rPr>
              <w:t>eoportal</w:t>
            </w:r>
            <w:r w:rsidR="007F4AAF">
              <w:rPr>
                <w:b w:val="0"/>
                <w:sz w:val="20"/>
                <w:lang w:eastAsia="pl-PL"/>
              </w:rPr>
              <w:t xml:space="preserve"> </w:t>
            </w:r>
            <w:r w:rsidRPr="000B10DA">
              <w:rPr>
                <w:b w:val="0"/>
                <w:sz w:val="20"/>
                <w:lang w:eastAsia="pl-PL"/>
              </w:rPr>
              <w:t>2</w:t>
            </w:r>
            <w:r>
              <w:rPr>
                <w:b w:val="0"/>
                <w:sz w:val="20"/>
                <w:lang w:eastAsia="pl-PL"/>
              </w:rPr>
              <w:t>, Projekt G2</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Projekt Geoportal 2 realizowany przez Główny Urząd Geodezji i Kartografii.</w:t>
            </w:r>
            <w:r>
              <w:rPr>
                <w:b w:val="0"/>
                <w:sz w:val="20"/>
                <w:lang w:eastAsia="pl-PL"/>
              </w:rPr>
              <w:t xml:space="preserve"> </w:t>
            </w:r>
            <w:r w:rsidRPr="000B10DA">
              <w:rPr>
                <w:b w:val="0"/>
                <w:sz w:val="20"/>
                <w:lang w:eastAsia="pl-PL"/>
              </w:rPr>
              <w:t>Istotą projektu jest rozwój Infrastruktury Informacji Przestrzennej w celu udostępnienia obywatelom, przedsiębiorcom oraz administracji publicznej informacji przestrzennej z rejestrów georeferencyjnych i związanych z nią usług istotnych między innymi dla prowadzenia działalności gospodarczej.</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Projekt </w:t>
            </w:r>
            <w:r w:rsidRPr="000B10DA">
              <w:rPr>
                <w:b w:val="0"/>
                <w:sz w:val="20"/>
                <w:lang w:eastAsia="pl-PL"/>
              </w:rPr>
              <w:t>GBDOT</w:t>
            </w:r>
            <w:r>
              <w:rPr>
                <w:b w:val="0"/>
                <w:sz w:val="20"/>
                <w:lang w:eastAsia="pl-PL"/>
              </w:rPr>
              <w:t xml:space="preserve"> (GBDOT)</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Projekt </w:t>
            </w:r>
            <w:r w:rsidRPr="000B10DA">
              <w:rPr>
                <w:b w:val="0"/>
                <w:sz w:val="20"/>
                <w:lang w:eastAsia="pl-PL"/>
              </w:rPr>
              <w:t>Georeferencyjna Baza Danych Obiektów Topograficznych – w kontekście dokumentu termin używany jako wskazanie projektu</w:t>
            </w:r>
            <w:r>
              <w:rPr>
                <w:b w:val="0"/>
                <w:sz w:val="20"/>
                <w:lang w:eastAsia="pl-PL"/>
              </w:rPr>
              <w:t xml:space="preserve"> „Georeferencyjna Baza Danych Obiektów Topograficznych wraz z krajowym systemem zarządzania”.</w:t>
            </w:r>
          </w:p>
        </w:tc>
      </w:tr>
      <w:tr w:rsidR="00607847"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607847" w:rsidP="006D7592">
            <w:pPr>
              <w:pStyle w:val="tabelanaglowek"/>
              <w:rPr>
                <w:b w:val="0"/>
                <w:sz w:val="20"/>
                <w:lang w:eastAsia="pl-PL"/>
              </w:rPr>
            </w:pPr>
            <w:r>
              <w:rPr>
                <w:b w:val="0"/>
                <w:sz w:val="20"/>
                <w:lang w:eastAsia="pl-PL"/>
              </w:rPr>
              <w:t>Projekt K-GESUT</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974D74" w:rsidP="006D7592">
            <w:pPr>
              <w:pStyle w:val="tabelanaglowek"/>
              <w:rPr>
                <w:b w:val="0"/>
                <w:sz w:val="20"/>
                <w:lang w:eastAsia="pl-PL"/>
              </w:rPr>
            </w:pPr>
            <w:r w:rsidRPr="00974D74">
              <w:rPr>
                <w:b w:val="0"/>
                <w:sz w:val="20"/>
                <w:lang w:eastAsia="pl-PL"/>
              </w:rPr>
              <w:t>Projekt Krajowa baza danych geodezyjnej ewidencji sieci uzbrojenia terenu</w:t>
            </w:r>
          </w:p>
        </w:tc>
      </w:tr>
      <w:tr w:rsidR="00607847"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607847" w:rsidP="006D7592">
            <w:pPr>
              <w:pStyle w:val="tabelanaglowek"/>
              <w:rPr>
                <w:b w:val="0"/>
                <w:sz w:val="20"/>
                <w:lang w:eastAsia="pl-PL"/>
              </w:rPr>
            </w:pPr>
            <w:r>
              <w:rPr>
                <w:b w:val="0"/>
                <w:sz w:val="20"/>
                <w:lang w:eastAsia="pl-PL"/>
              </w:rPr>
              <w:t>Projekt ZSIN</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974D74" w:rsidP="006D7592">
            <w:pPr>
              <w:pStyle w:val="tabelanaglowek"/>
              <w:rPr>
                <w:b w:val="0"/>
                <w:sz w:val="20"/>
                <w:lang w:eastAsia="pl-PL"/>
              </w:rPr>
            </w:pPr>
            <w:r w:rsidRPr="00974D74">
              <w:rPr>
                <w:b w:val="0"/>
                <w:sz w:val="20"/>
                <w:lang w:eastAsia="pl-PL"/>
              </w:rPr>
              <w:t>Projekt Budowa Zintegrowanego Systemu Informacji o Nieruchomościach – Faza II</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ISOK</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Projekt ISOK (Informatyczny System Osłony Kraju) realizowany przez Instytut Meteorologii i Gospodarki Wodnej oraz Główny Urząd Geodezji i Kartografii</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Magazyny danych G</w:t>
            </w:r>
            <w:r w:rsidR="00FF7284">
              <w:rPr>
                <w:b w:val="0"/>
                <w:sz w:val="20"/>
                <w:lang w:eastAsia="pl-PL"/>
              </w:rPr>
              <w:t>eoportal</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Magazyny danych systemu Geoportal 2 realizowane w ramach zamówienia na Implementację i utrzymanie usług INSPIRE i ich brokera krajowego, brokera branżowego oraz szkolenia, na potrzeby projektu G</w:t>
            </w:r>
            <w:r w:rsidR="007F4AAF">
              <w:rPr>
                <w:b w:val="0"/>
                <w:sz w:val="20"/>
                <w:lang w:eastAsia="pl-PL"/>
              </w:rPr>
              <w:t>eoportal</w:t>
            </w:r>
            <w:r w:rsidRPr="000B10DA">
              <w:rPr>
                <w:b w:val="0"/>
                <w:sz w:val="20"/>
                <w:lang w:eastAsia="pl-PL"/>
              </w:rPr>
              <w:t xml:space="preserve"> 2.</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lastRenderedPageBreak/>
              <w:t>OGC</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Open Geospatial Consortium – organizacja standaryzująca i promująca wykorzystanie otwartych standardów w geoinformacji</w:t>
            </w:r>
            <w:r>
              <w:rPr>
                <w:b w:val="0"/>
                <w:sz w:val="20"/>
                <w:lang w:eastAsia="pl-PL"/>
              </w:rPr>
              <w:t>.</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PRG</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Państwowy rejestr granic i powierzchni jednostek podziałów terytorialnych kraju; w kontekście dokumentu termin używany jako system do zarządzania PRG.</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PRNG</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Państwowy Rejestr Nazw Geograficznych - urzędowa, referencyjna baza danych stanowiąca podstawę dla innych systemów informacji przestrzennej zawierających nazwy geograficzne.</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PZGiK</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Państwowy Zasób Geodezyjny i Kartograficzny</w:t>
            </w:r>
            <w:r>
              <w:rPr>
                <w:b w:val="0"/>
                <w:sz w:val="20"/>
                <w:lang w:eastAsia="pl-PL"/>
              </w:rPr>
              <w:t>,</w:t>
            </w:r>
            <w:r w:rsidRPr="000B10DA">
              <w:rPr>
                <w:b w:val="0"/>
                <w:sz w:val="20"/>
                <w:lang w:eastAsia="pl-PL"/>
              </w:rPr>
              <w:t xml:space="preserve"> o którym mowa w </w:t>
            </w:r>
            <w:r>
              <w:rPr>
                <w:b w:val="0"/>
                <w:sz w:val="20"/>
                <w:lang w:eastAsia="pl-PL"/>
              </w:rPr>
              <w:t>Ustawie PGiK.</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SDI</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Węzły lokalne infrastruktury informacji przestrzennej realizowane w ramach zamówienia na Implementację węzłów Infrastruktury Informacji Przestrzennej w celu zapewnienia dostępu do danych i dokumentów Państwowego Zasobu Geodezyjnego i Kartograficznego oraz wytworzenie dedykowanych narzędzi do obsługi modułów mapowych</w:t>
            </w:r>
            <w:r>
              <w:rPr>
                <w:b w:val="0"/>
                <w:sz w:val="20"/>
                <w:lang w:eastAsia="pl-PL"/>
              </w:rPr>
              <w:t>.</w:t>
            </w:r>
          </w:p>
        </w:tc>
      </w:tr>
      <w:tr w:rsidR="00607847"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607847" w:rsidRPr="000B10DA" w:rsidRDefault="00607847" w:rsidP="006D7592">
            <w:pPr>
              <w:pStyle w:val="tabelanaglowek"/>
              <w:rPr>
                <w:b w:val="0"/>
                <w:sz w:val="20"/>
                <w:lang w:eastAsia="pl-PL"/>
              </w:rPr>
            </w:pPr>
            <w:r>
              <w:rPr>
                <w:b w:val="0"/>
                <w:sz w:val="20"/>
                <w:lang w:eastAsia="pl-PL"/>
              </w:rPr>
              <w:t xml:space="preserve">Systemy </w:t>
            </w:r>
            <w:r w:rsidR="006A3C21">
              <w:rPr>
                <w:b w:val="0"/>
                <w:sz w:val="20"/>
                <w:lang w:eastAsia="pl-PL"/>
              </w:rPr>
              <w:t xml:space="preserve">zewnętrzne </w:t>
            </w:r>
            <w:r>
              <w:rPr>
                <w:b w:val="0"/>
                <w:sz w:val="20"/>
                <w:lang w:eastAsia="pl-PL"/>
              </w:rPr>
              <w:t>CAPAP</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607847" w:rsidRPr="000B10DA" w:rsidRDefault="00607847" w:rsidP="006D7592">
            <w:pPr>
              <w:pStyle w:val="tabelanaglowek"/>
              <w:rPr>
                <w:b w:val="0"/>
                <w:sz w:val="20"/>
                <w:lang w:eastAsia="pl-PL"/>
              </w:rPr>
            </w:pPr>
            <w:r>
              <w:rPr>
                <w:b w:val="0"/>
                <w:sz w:val="20"/>
                <w:lang w:eastAsia="pl-PL"/>
              </w:rPr>
              <w:t xml:space="preserve">Systemy współpracujące z Systemem CAPAP w zakresie analityki danych </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 xml:space="preserve">System Geoportal </w:t>
            </w:r>
            <w:r>
              <w:rPr>
                <w:b w:val="0"/>
                <w:sz w:val="20"/>
                <w:lang w:eastAsia="pl-PL"/>
              </w:rPr>
              <w:t>, G2</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System budowany w ramach projektu Geoportal 2.</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K</w:t>
            </w:r>
            <w:r w:rsidRPr="000B10DA">
              <w:rPr>
                <w:b w:val="0"/>
                <w:sz w:val="20"/>
                <w:lang w:eastAsia="pl-PL"/>
              </w:rPr>
              <w:t>SZBDOT</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Krajowy  </w:t>
            </w:r>
            <w:r w:rsidRPr="000B10DA">
              <w:rPr>
                <w:b w:val="0"/>
                <w:sz w:val="20"/>
                <w:lang w:eastAsia="pl-PL"/>
              </w:rPr>
              <w:t>System Zarządzania Bazą Danych Obiektów Topograficznych</w:t>
            </w:r>
            <w:r>
              <w:rPr>
                <w:b w:val="0"/>
                <w:sz w:val="20"/>
                <w:lang w:eastAsia="pl-PL"/>
              </w:rPr>
              <w:t>.</w:t>
            </w:r>
          </w:p>
        </w:tc>
      </w:tr>
      <w:tr w:rsidR="00710E0C" w:rsidRPr="007F4AAF"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TERYT2</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Projekt „TERYT2 - Państwowy rejestr granic i powierzchni jednostek podziałów terytorialnych kraju” mający na celu udostępnienie on-line państwowego rejestru granic i powierzchni jednostek podziałów terytorialnych kraju oraz realizację i wdrożenie rozwiązań związanych z prowadzeniem rejestrów adresowych.</w:t>
            </w:r>
            <w:r>
              <w:rPr>
                <w:b w:val="0"/>
                <w:sz w:val="20"/>
                <w:lang w:eastAsia="pl-PL"/>
              </w:rPr>
              <w:t xml:space="preserve"> </w:t>
            </w:r>
            <w:r w:rsidRPr="000B10DA">
              <w:rPr>
                <w:b w:val="0"/>
                <w:sz w:val="20"/>
                <w:lang w:eastAsia="pl-PL"/>
              </w:rPr>
              <w:t>Projekt realizowany jest przez Główny Urząd Geodezji i Kartografii.</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Usługi G2</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 xml:space="preserve">Usługi danych przestrzennych udostępniane przez system Geoportal </w:t>
            </w:r>
            <w:r>
              <w:rPr>
                <w:b w:val="0"/>
                <w:sz w:val="20"/>
                <w:lang w:eastAsia="pl-PL"/>
              </w:rPr>
              <w:t>.</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Ustawa PGiK</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pPr>
              <w:pStyle w:val="tabelanaglowek"/>
              <w:rPr>
                <w:b w:val="0"/>
                <w:sz w:val="20"/>
                <w:lang w:eastAsia="pl-PL"/>
              </w:rPr>
            </w:pPr>
            <w:r w:rsidRPr="00974D74">
              <w:rPr>
                <w:b w:val="0"/>
                <w:sz w:val="20"/>
                <w:lang w:eastAsia="pl-PL"/>
              </w:rPr>
              <w:t>Ustawa z dnia 17 maja 1989 r. Prawo geodezyjne i kartograficzne (Dz. U. z 201</w:t>
            </w:r>
            <w:r w:rsidR="00974D74" w:rsidRPr="00825784">
              <w:rPr>
                <w:b w:val="0"/>
                <w:sz w:val="20"/>
                <w:lang w:eastAsia="pl-PL"/>
              </w:rPr>
              <w:t xml:space="preserve">5 </w:t>
            </w:r>
            <w:r w:rsidRPr="00974D74">
              <w:rPr>
                <w:b w:val="0"/>
                <w:sz w:val="20"/>
                <w:lang w:eastAsia="pl-PL"/>
              </w:rPr>
              <w:t xml:space="preserve">r. poz. </w:t>
            </w:r>
            <w:r w:rsidR="00974D74" w:rsidRPr="00825784">
              <w:rPr>
                <w:b w:val="0"/>
                <w:sz w:val="20"/>
                <w:lang w:eastAsia="pl-PL"/>
              </w:rPr>
              <w:t>520 ze zm.</w:t>
            </w:r>
            <w:r w:rsidRPr="00974D74">
              <w:rPr>
                <w:b w:val="0"/>
                <w:sz w:val="20"/>
                <w:lang w:eastAsia="pl-PL"/>
              </w:rPr>
              <w:t>).</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WFS</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Usługa OGC – Web Feature Service; umożliwia pozyskanie danych przestrzennych w postaci zdefiniowanej struktury, co umożliwia ich dalsze przetwarzanie</w:t>
            </w:r>
            <w:r>
              <w:rPr>
                <w:b w:val="0"/>
                <w:sz w:val="20"/>
                <w:lang w:eastAsia="pl-PL"/>
              </w:rPr>
              <w:t>.</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WMS</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Usługa OGC – Web Map Service; umożliwia pozyskanie danych przestrzennych w postaci graficznej</w:t>
            </w:r>
            <w:r>
              <w:rPr>
                <w:b w:val="0"/>
                <w:sz w:val="20"/>
                <w:lang w:eastAsia="pl-PL"/>
              </w:rPr>
              <w:t>.</w:t>
            </w:r>
          </w:p>
        </w:tc>
      </w:tr>
      <w:tr w:rsidR="00710E0C" w:rsidRPr="0028284C"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lastRenderedPageBreak/>
              <w:t>ZSIN</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pPr>
              <w:pStyle w:val="tabelanaglowek"/>
              <w:rPr>
                <w:b w:val="0"/>
                <w:sz w:val="20"/>
                <w:lang w:eastAsia="pl-PL"/>
              </w:rPr>
            </w:pPr>
            <w:r w:rsidRPr="000B10DA">
              <w:rPr>
                <w:b w:val="0"/>
                <w:sz w:val="20"/>
                <w:lang w:eastAsia="pl-PL"/>
              </w:rPr>
              <w:t>Zintegrowany System Informacji o Nieruchomościach</w:t>
            </w:r>
            <w:r w:rsidR="00974D74">
              <w:rPr>
                <w:b w:val="0"/>
                <w:sz w:val="20"/>
                <w:lang w:eastAsia="pl-PL"/>
              </w:rPr>
              <w:t xml:space="preserve"> zbudowany w ramach Projektu </w:t>
            </w:r>
            <w:r w:rsidR="00974D74" w:rsidRPr="00974D74">
              <w:rPr>
                <w:b w:val="0"/>
                <w:sz w:val="20"/>
                <w:lang w:eastAsia="pl-PL"/>
              </w:rPr>
              <w:t>ZSIN – Budowa zintegrowanego systemu informacji o nieruchomościach – Faza I</w:t>
            </w:r>
            <w:r w:rsidR="00974D74">
              <w:rPr>
                <w:b w:val="0"/>
                <w:sz w:val="20"/>
                <w:lang w:eastAsia="pl-PL"/>
              </w:rPr>
              <w:t xml:space="preserve"> i planowany do rozbudowy w ramach Projektu </w:t>
            </w:r>
            <w:r w:rsidR="00974D74" w:rsidRPr="00974D74">
              <w:rPr>
                <w:b w:val="0"/>
                <w:sz w:val="20"/>
                <w:lang w:eastAsia="pl-PL"/>
              </w:rPr>
              <w:t>ZSIN – Budowa zintegrowanego systemu informacji o nieruchomościach – Faza I</w:t>
            </w:r>
            <w:r w:rsidR="00974D74">
              <w:rPr>
                <w:b w:val="0"/>
                <w:sz w:val="20"/>
                <w:lang w:eastAsia="pl-PL"/>
              </w:rPr>
              <w:t>I.</w:t>
            </w:r>
          </w:p>
        </w:tc>
      </w:tr>
    </w:tbl>
    <w:p w:rsidR="00710E0C" w:rsidRPr="00710E0C" w:rsidRDefault="00710E0C" w:rsidP="00710E0C">
      <w:pPr>
        <w:rPr>
          <w:lang w:val="pl-PL"/>
        </w:rPr>
      </w:pPr>
    </w:p>
    <w:p w:rsidR="00710E0C" w:rsidRDefault="00710E0C" w:rsidP="00710E0C">
      <w:pPr>
        <w:pStyle w:val="Nagwek1"/>
        <w:keepLines w:val="0"/>
        <w:pageBreakBefore/>
        <w:tabs>
          <w:tab w:val="num" w:pos="224"/>
          <w:tab w:val="left" w:pos="567"/>
        </w:tabs>
        <w:suppressAutoHyphens/>
        <w:spacing w:before="240" w:after="320"/>
        <w:ind w:left="227" w:hanging="227"/>
      </w:pPr>
      <w:bookmarkStart w:id="10" w:name="_Toc281301764"/>
      <w:bookmarkStart w:id="11" w:name="_Toc281302541"/>
      <w:bookmarkStart w:id="12" w:name="_Toc281302577"/>
      <w:bookmarkStart w:id="13" w:name="_Toc281302648"/>
      <w:bookmarkStart w:id="14" w:name="_Toc281303169"/>
      <w:bookmarkStart w:id="15" w:name="_Toc281315067"/>
      <w:bookmarkStart w:id="16" w:name="_Toc281826287"/>
      <w:bookmarkStart w:id="17" w:name="_Toc281826457"/>
      <w:bookmarkStart w:id="18" w:name="_Toc281900664"/>
      <w:bookmarkStart w:id="19" w:name="_Toc281978563"/>
      <w:bookmarkStart w:id="20" w:name="_Toc282009846"/>
      <w:bookmarkStart w:id="21" w:name="_Toc282522153"/>
      <w:bookmarkStart w:id="22" w:name="_Toc282598072"/>
      <w:bookmarkStart w:id="23" w:name="_Toc282610542"/>
      <w:bookmarkStart w:id="24" w:name="_Toc282611281"/>
      <w:bookmarkStart w:id="25" w:name="_Toc282785644"/>
      <w:bookmarkStart w:id="26" w:name="_Toc281301766"/>
      <w:bookmarkStart w:id="27" w:name="_Toc281302543"/>
      <w:bookmarkStart w:id="28" w:name="_Toc281302579"/>
      <w:bookmarkStart w:id="29" w:name="_Toc281302650"/>
      <w:bookmarkStart w:id="30" w:name="_Toc281303171"/>
      <w:bookmarkStart w:id="31" w:name="_Toc281315069"/>
      <w:bookmarkStart w:id="32" w:name="_Toc281826289"/>
      <w:bookmarkStart w:id="33" w:name="_Toc281826459"/>
      <w:bookmarkStart w:id="34" w:name="_Toc281900666"/>
      <w:bookmarkStart w:id="35" w:name="_Toc281978565"/>
      <w:bookmarkStart w:id="36" w:name="_Toc282009848"/>
      <w:bookmarkStart w:id="37" w:name="_Toc282522155"/>
      <w:bookmarkStart w:id="38" w:name="_Toc282598074"/>
      <w:bookmarkStart w:id="39" w:name="_Toc282610544"/>
      <w:bookmarkStart w:id="40" w:name="_Toc282611283"/>
      <w:bookmarkStart w:id="41" w:name="_Toc282785646"/>
      <w:bookmarkStart w:id="42" w:name="_Toc296515161"/>
      <w:bookmarkStart w:id="43" w:name="_Toc296515163"/>
      <w:bookmarkStart w:id="44" w:name="_Toc296515164"/>
      <w:bookmarkStart w:id="45" w:name="_Toc296515165"/>
      <w:bookmarkStart w:id="46" w:name="_Toc350513677"/>
      <w:bookmarkStart w:id="47" w:name="_Toc43181137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lastRenderedPageBreak/>
        <w:t>Architektura aplikacji</w:t>
      </w:r>
      <w:bookmarkEnd w:id="46"/>
      <w:bookmarkEnd w:id="47"/>
    </w:p>
    <w:p w:rsidR="00710E0C" w:rsidRPr="00710E0C" w:rsidRDefault="00710E0C" w:rsidP="0000517B">
      <w:pPr>
        <w:jc w:val="both"/>
        <w:rPr>
          <w:lang w:val="pl-PL" w:eastAsia="pl-PL"/>
        </w:rPr>
      </w:pPr>
      <w:r w:rsidRPr="00710E0C">
        <w:rPr>
          <w:lang w:val="pl-PL" w:eastAsia="pl-PL"/>
        </w:rPr>
        <w:t>Architektura aplikacji w ramach SIG określa główne usługi na poziomie aplikacyjnym (tzw. usługi aplikacyjne SIG) oraz ich organizację.</w:t>
      </w:r>
    </w:p>
    <w:p w:rsidR="00710E0C" w:rsidRPr="00710E0C" w:rsidRDefault="00710E0C" w:rsidP="00710E0C">
      <w:pPr>
        <w:rPr>
          <w:lang w:val="pl-PL"/>
        </w:rPr>
      </w:pPr>
      <w:r w:rsidRPr="00710E0C">
        <w:rPr>
          <w:lang w:val="pl-PL"/>
        </w:rPr>
        <w:t>Parametry dostępności oraz wydajności usług określone są w Katalogu Usług SIG.</w:t>
      </w:r>
    </w:p>
    <w:p w:rsidR="00710E0C" w:rsidRPr="00710E0C" w:rsidRDefault="00710E0C" w:rsidP="00710E0C">
      <w:pPr>
        <w:rPr>
          <w:lang w:val="pl-PL" w:eastAsia="pl-PL"/>
        </w:rPr>
      </w:pPr>
      <w:r w:rsidRPr="00710E0C">
        <w:rPr>
          <w:lang w:val="pl-PL" w:eastAsia="pl-PL"/>
        </w:rPr>
        <w:t>Ogólny widok architektury aplikacji przedstawia:</w:t>
      </w:r>
    </w:p>
    <w:p w:rsidR="00710E0C" w:rsidRPr="00710E0C" w:rsidRDefault="00710E0C" w:rsidP="00710E0C">
      <w:pPr>
        <w:pStyle w:val="Akapitzlist"/>
        <w:numPr>
          <w:ilvl w:val="0"/>
          <w:numId w:val="26"/>
        </w:numPr>
        <w:suppressAutoHyphens/>
        <w:spacing w:before="60" w:after="60"/>
        <w:jc w:val="both"/>
        <w:rPr>
          <w:lang w:val="pl-PL" w:eastAsia="pl-PL"/>
        </w:rPr>
      </w:pPr>
      <w:r w:rsidRPr="00710E0C">
        <w:rPr>
          <w:lang w:val="pl-PL" w:eastAsia="pl-PL"/>
        </w:rPr>
        <w:t xml:space="preserve">Grupę systemów dziedzinowych, które gromadzą, przetwarzają oraz przygotowują do udostępnienia dane przestrzenne. Są to systemy informatyczne zarządzające podstawowymi magazynami danych przestrzennych: BDOT, PRG, EMUiA, NMT oraz </w:t>
      </w:r>
      <w:r w:rsidR="006E153A">
        <w:rPr>
          <w:lang w:val="pl-PL" w:eastAsia="pl-PL"/>
        </w:rPr>
        <w:t>ZSIN</w:t>
      </w:r>
      <w:r w:rsidRPr="00710E0C">
        <w:rPr>
          <w:lang w:val="pl-PL" w:eastAsia="pl-PL"/>
        </w:rPr>
        <w:t>.</w:t>
      </w:r>
    </w:p>
    <w:p w:rsidR="00710E0C" w:rsidRDefault="00710E0C" w:rsidP="00710E0C">
      <w:pPr>
        <w:pStyle w:val="Akapitzlist"/>
        <w:numPr>
          <w:ilvl w:val="0"/>
          <w:numId w:val="26"/>
        </w:numPr>
        <w:suppressAutoHyphens/>
        <w:spacing w:before="60" w:after="60"/>
        <w:jc w:val="both"/>
        <w:rPr>
          <w:lang w:val="pl-PL" w:eastAsia="pl-PL"/>
        </w:rPr>
      </w:pPr>
      <w:r w:rsidRPr="00710E0C">
        <w:rPr>
          <w:lang w:val="pl-PL" w:eastAsia="pl-PL"/>
        </w:rPr>
        <w:t>Grupę systemów udostępniających dane klientom, w szczególności systemy dostarczane w ramach projektu Geoportal</w:t>
      </w:r>
      <w:r w:rsidR="007F4AAF">
        <w:rPr>
          <w:lang w:val="pl-PL" w:eastAsia="pl-PL"/>
        </w:rPr>
        <w:t xml:space="preserve"> </w:t>
      </w:r>
      <w:r w:rsidRPr="00710E0C">
        <w:rPr>
          <w:lang w:val="pl-PL" w:eastAsia="pl-PL"/>
        </w:rPr>
        <w:t>2</w:t>
      </w:r>
    </w:p>
    <w:p w:rsidR="006A3C21" w:rsidRPr="00710E0C" w:rsidRDefault="006A3C21" w:rsidP="00710E0C">
      <w:pPr>
        <w:pStyle w:val="Akapitzlist"/>
        <w:numPr>
          <w:ilvl w:val="0"/>
          <w:numId w:val="26"/>
        </w:numPr>
        <w:suppressAutoHyphens/>
        <w:spacing w:before="60" w:after="60"/>
        <w:jc w:val="both"/>
        <w:rPr>
          <w:lang w:val="pl-PL" w:eastAsia="pl-PL"/>
        </w:rPr>
      </w:pPr>
      <w:r>
        <w:rPr>
          <w:lang w:val="pl-PL" w:eastAsia="pl-PL"/>
        </w:rPr>
        <w:t xml:space="preserve">Grupę systemów udostępniających </w:t>
      </w:r>
      <w:r w:rsidR="00E647BC">
        <w:rPr>
          <w:lang w:val="pl-PL" w:eastAsia="pl-PL"/>
        </w:rPr>
        <w:t xml:space="preserve">dedykowane </w:t>
      </w:r>
      <w:r>
        <w:rPr>
          <w:lang w:val="pl-PL" w:eastAsia="pl-PL"/>
        </w:rPr>
        <w:t xml:space="preserve">usługi </w:t>
      </w:r>
      <w:r w:rsidR="00E647BC">
        <w:rPr>
          <w:lang w:val="pl-PL" w:eastAsia="pl-PL"/>
        </w:rPr>
        <w:t xml:space="preserve">np. usługi </w:t>
      </w:r>
      <w:r>
        <w:rPr>
          <w:lang w:val="pl-PL" w:eastAsia="pl-PL"/>
        </w:rPr>
        <w:t xml:space="preserve">analityczne </w:t>
      </w:r>
    </w:p>
    <w:p w:rsidR="00710E0C" w:rsidRPr="00710E0C" w:rsidRDefault="00710E0C" w:rsidP="00710E0C">
      <w:pPr>
        <w:pStyle w:val="Akapitzlist"/>
        <w:numPr>
          <w:ilvl w:val="0"/>
          <w:numId w:val="26"/>
        </w:numPr>
        <w:suppressAutoHyphens/>
        <w:spacing w:before="60" w:after="60"/>
        <w:jc w:val="both"/>
        <w:rPr>
          <w:lang w:val="pl-PL" w:eastAsia="pl-PL"/>
        </w:rPr>
      </w:pPr>
      <w:r w:rsidRPr="00710E0C">
        <w:rPr>
          <w:lang w:val="pl-PL" w:eastAsia="pl-PL"/>
        </w:rPr>
        <w:t>Grupę systemów pośredniczących w dostępie do usług świadczonych przez GUGiK. W obecnym horyzoncie planowania są to dowolne, inne geoportale oraz system ePUAP, przy czym usługi te są świadczone przez podmioty zewnętrzne</w:t>
      </w:r>
    </w:p>
    <w:p w:rsidR="00710E0C" w:rsidRPr="00710E0C" w:rsidRDefault="00710E0C" w:rsidP="00710E0C">
      <w:pPr>
        <w:rPr>
          <w:lang w:val="pl-PL" w:eastAsia="pl-PL"/>
        </w:rPr>
      </w:pPr>
      <w:r w:rsidRPr="00710E0C">
        <w:rPr>
          <w:lang w:val="pl-PL" w:eastAsia="pl-PL"/>
        </w:rPr>
        <w:t xml:space="preserve">Usługi aplikacyjne w ramach wymienionych grup przedstawia </w:t>
      </w:r>
      <w:r w:rsidR="00874679">
        <w:rPr>
          <w:lang w:eastAsia="pl-PL"/>
        </w:rPr>
        <w:fldChar w:fldCharType="begin"/>
      </w:r>
      <w:r w:rsidRPr="00710E0C">
        <w:rPr>
          <w:lang w:val="pl-PL" w:eastAsia="pl-PL"/>
        </w:rPr>
        <w:instrText xml:space="preserve"> REF _Ref295386162 \h </w:instrText>
      </w:r>
      <w:r w:rsidR="00874679">
        <w:rPr>
          <w:lang w:eastAsia="pl-PL"/>
        </w:rPr>
      </w:r>
      <w:r w:rsidR="00874679">
        <w:rPr>
          <w:lang w:eastAsia="pl-PL"/>
        </w:rPr>
        <w:fldChar w:fldCharType="separate"/>
      </w:r>
      <w:r w:rsidRPr="00710E0C">
        <w:rPr>
          <w:lang w:val="pl-PL"/>
        </w:rPr>
        <w:t xml:space="preserve">Rysunek </w:t>
      </w:r>
      <w:r w:rsidRPr="00710E0C">
        <w:rPr>
          <w:noProof/>
          <w:lang w:val="pl-PL"/>
        </w:rPr>
        <w:t>1</w:t>
      </w:r>
      <w:r w:rsidRPr="00710E0C">
        <w:rPr>
          <w:lang w:val="pl-PL"/>
        </w:rPr>
        <w:t xml:space="preserve"> Kontekst SIG</w:t>
      </w:r>
      <w:r w:rsidR="00874679">
        <w:rPr>
          <w:lang w:eastAsia="pl-PL"/>
        </w:rPr>
        <w:fldChar w:fldCharType="end"/>
      </w:r>
      <w:r w:rsidRPr="00710E0C">
        <w:rPr>
          <w:lang w:val="pl-PL" w:eastAsia="pl-PL"/>
        </w:rPr>
        <w:t>.</w:t>
      </w:r>
    </w:p>
    <w:p w:rsidR="00710E0C" w:rsidRDefault="00101F63" w:rsidP="0000517B">
      <w:pPr>
        <w:keepNext/>
        <w:jc w:val="center"/>
      </w:pPr>
      <w:r>
        <w:rPr>
          <w:noProof/>
          <w:lang w:val="pl-PL" w:eastAsia="pl-PL"/>
        </w:rPr>
        <w:drawing>
          <wp:inline distT="0" distB="0" distL="0" distR="0" wp14:anchorId="0EA35F9C" wp14:editId="2C97A77C">
            <wp:extent cx="4198935" cy="3196935"/>
            <wp:effectExtent l="0" t="0" r="0" b="381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0704" cy="3221123"/>
                    </a:xfrm>
                    <a:prstGeom prst="rect">
                      <a:avLst/>
                    </a:prstGeom>
                    <a:noFill/>
                  </pic:spPr>
                </pic:pic>
              </a:graphicData>
            </a:graphic>
          </wp:inline>
        </w:drawing>
      </w:r>
    </w:p>
    <w:p w:rsidR="00710E0C" w:rsidRDefault="00710E0C" w:rsidP="00710E0C">
      <w:pPr>
        <w:pStyle w:val="Legenda"/>
      </w:pPr>
      <w:bookmarkStart w:id="48" w:name="_Ref295386162"/>
      <w:r>
        <w:t xml:space="preserve">Rysunek </w:t>
      </w:r>
      <w:fldSimple w:instr=" SEQ Rysunek \* ARABIC ">
        <w:r>
          <w:rPr>
            <w:noProof/>
          </w:rPr>
          <w:t>1</w:t>
        </w:r>
      </w:fldSimple>
      <w:r>
        <w:t xml:space="preserve"> Kontekst SIG</w:t>
      </w:r>
      <w:bookmarkEnd w:id="48"/>
    </w:p>
    <w:p w:rsidR="00710E0C" w:rsidRPr="00710E0C" w:rsidRDefault="00710E0C" w:rsidP="00710E0C">
      <w:pPr>
        <w:rPr>
          <w:lang w:val="pl-PL" w:eastAsia="pl-PL"/>
        </w:rPr>
      </w:pPr>
      <w:r w:rsidRPr="00710E0C">
        <w:rPr>
          <w:lang w:val="pl-PL" w:eastAsia="pl-PL"/>
        </w:rPr>
        <w:t>Podstawowe zależności pomiędzy grupami usług aplikacyjnych przedstawiono przy pomocy przepływów informacji.</w:t>
      </w:r>
    </w:p>
    <w:p w:rsidR="00710E0C" w:rsidRDefault="00710E0C" w:rsidP="00710E0C">
      <w:pPr>
        <w:pStyle w:val="Akapitzlist"/>
        <w:numPr>
          <w:ilvl w:val="0"/>
          <w:numId w:val="27"/>
        </w:numPr>
        <w:suppressAutoHyphens/>
        <w:spacing w:before="60" w:after="60"/>
        <w:jc w:val="both"/>
        <w:rPr>
          <w:lang w:val="pl-PL" w:eastAsia="pl-PL"/>
        </w:rPr>
      </w:pPr>
      <w:r w:rsidRPr="00710E0C">
        <w:rPr>
          <w:lang w:val="pl-PL" w:eastAsia="pl-PL"/>
        </w:rPr>
        <w:t xml:space="preserve">Systemy dziedzinowe dostarczają na rzecz systemu Geoportal </w:t>
      </w:r>
      <w:r w:rsidR="00607847">
        <w:rPr>
          <w:lang w:val="pl-PL" w:eastAsia="pl-PL"/>
        </w:rPr>
        <w:t xml:space="preserve">oraz na rzecz Centrum Analiz Przestrzennych Administracji Publicznej </w:t>
      </w:r>
      <w:r w:rsidRPr="00710E0C">
        <w:rPr>
          <w:lang w:val="pl-PL" w:eastAsia="pl-PL"/>
        </w:rPr>
        <w:t>dane dziedzinowe</w:t>
      </w:r>
    </w:p>
    <w:p w:rsidR="00710E0C" w:rsidRPr="00710E0C" w:rsidRDefault="00710E0C" w:rsidP="00710E0C">
      <w:pPr>
        <w:pStyle w:val="Akapitzlist"/>
        <w:numPr>
          <w:ilvl w:val="0"/>
          <w:numId w:val="27"/>
        </w:numPr>
        <w:suppressAutoHyphens/>
        <w:spacing w:before="60" w:after="60"/>
        <w:jc w:val="both"/>
        <w:rPr>
          <w:lang w:val="pl-PL" w:eastAsia="pl-PL"/>
        </w:rPr>
      </w:pPr>
      <w:r w:rsidRPr="00710E0C">
        <w:rPr>
          <w:lang w:val="pl-PL" w:eastAsia="pl-PL"/>
        </w:rPr>
        <w:t xml:space="preserve">System Geoportal dostarcza na rzecz systemów dziedzinowych </w:t>
      </w:r>
      <w:r w:rsidR="00607847">
        <w:rPr>
          <w:lang w:val="pl-PL" w:eastAsia="pl-PL"/>
        </w:rPr>
        <w:t xml:space="preserve">oraz Centrum Analiz Przestrzennych Administracji Publicznej </w:t>
      </w:r>
      <w:r w:rsidRPr="00710E0C">
        <w:rPr>
          <w:lang w:val="pl-PL" w:eastAsia="pl-PL"/>
        </w:rPr>
        <w:t xml:space="preserve">dostęp do usług danych przestrzennych oraz usług </w:t>
      </w:r>
      <w:r w:rsidRPr="00710E0C">
        <w:rPr>
          <w:lang w:val="pl-PL" w:eastAsia="pl-PL"/>
        </w:rPr>
        <w:lastRenderedPageBreak/>
        <w:t>infrastrukturaln</w:t>
      </w:r>
      <w:r w:rsidR="00607847">
        <w:rPr>
          <w:lang w:val="pl-PL" w:eastAsia="pl-PL"/>
        </w:rPr>
        <w:t>ych</w:t>
      </w:r>
      <w:r w:rsidRPr="00710E0C">
        <w:rPr>
          <w:lang w:val="pl-PL" w:eastAsia="pl-PL"/>
        </w:rPr>
        <w:t>, np. usługi bezpieczeństwa, usługi monitorowania lub usług dostępu do dokumentów składowanych w ramach usług publicznych inicjowanych przez ePUAP</w:t>
      </w:r>
    </w:p>
    <w:p w:rsidR="00710E0C" w:rsidRDefault="00710E0C" w:rsidP="00710E0C">
      <w:pPr>
        <w:pStyle w:val="Akapitzlist"/>
        <w:numPr>
          <w:ilvl w:val="0"/>
          <w:numId w:val="27"/>
        </w:numPr>
        <w:suppressAutoHyphens/>
        <w:spacing w:before="60" w:after="60"/>
        <w:jc w:val="both"/>
        <w:rPr>
          <w:lang w:val="pl-PL" w:eastAsia="pl-PL"/>
        </w:rPr>
      </w:pPr>
      <w:r w:rsidRPr="00710E0C">
        <w:rPr>
          <w:lang w:val="pl-PL" w:eastAsia="pl-PL"/>
        </w:rPr>
        <w:t>System Geoportal dostarcza dla wszystkich zainteresowanych geoportali (np. dziedzinowych, branżowych, lokalnych) dostęp do usług danych przestrzennych</w:t>
      </w:r>
    </w:p>
    <w:p w:rsidR="00607847" w:rsidRPr="00710E0C" w:rsidRDefault="00607847" w:rsidP="00710E0C">
      <w:pPr>
        <w:pStyle w:val="Akapitzlist"/>
        <w:numPr>
          <w:ilvl w:val="0"/>
          <w:numId w:val="27"/>
        </w:numPr>
        <w:suppressAutoHyphens/>
        <w:spacing w:before="60" w:after="60"/>
        <w:jc w:val="both"/>
        <w:rPr>
          <w:lang w:val="pl-PL" w:eastAsia="pl-PL"/>
        </w:rPr>
      </w:pPr>
      <w:r>
        <w:rPr>
          <w:lang w:val="pl-PL" w:eastAsia="pl-PL"/>
        </w:rPr>
        <w:t>Centrum Analiz Przestrzennych Administracji Publicznej dostarcza dla wszystkich zainteresowanych systemów funkcjonalność w zakresie analityki danych przestrzennych PZGiK oraz zdeponowanych danych biznesowych</w:t>
      </w:r>
    </w:p>
    <w:p w:rsidR="00710E0C" w:rsidRPr="00710E0C" w:rsidRDefault="00710E0C" w:rsidP="00710E0C">
      <w:pPr>
        <w:pStyle w:val="Akapitzlist"/>
        <w:numPr>
          <w:ilvl w:val="0"/>
          <w:numId w:val="27"/>
        </w:numPr>
        <w:suppressAutoHyphens/>
        <w:spacing w:before="60" w:after="60"/>
        <w:jc w:val="both"/>
        <w:rPr>
          <w:lang w:val="pl-PL" w:eastAsia="pl-PL"/>
        </w:rPr>
      </w:pPr>
      <w:r w:rsidRPr="00710E0C">
        <w:rPr>
          <w:lang w:val="pl-PL" w:eastAsia="pl-PL"/>
        </w:rPr>
        <w:t>System ePUAP dostarcza na rzecz systemu G</w:t>
      </w:r>
      <w:r w:rsidR="007F4AAF">
        <w:rPr>
          <w:lang w:val="pl-PL" w:eastAsia="pl-PL"/>
        </w:rPr>
        <w:t>eoportal</w:t>
      </w:r>
      <w:r w:rsidRPr="00710E0C">
        <w:rPr>
          <w:lang w:val="pl-PL" w:eastAsia="pl-PL"/>
        </w:rPr>
        <w:t xml:space="preserve"> i pośrednio systemów dziedzinowych wartość związaną z inicjowaniem oraz obsługą usług publicznych, np. przekazywanie dokumentów, poświadczanie tożsamości przy pomocy Zaufanego Profilu.</w:t>
      </w:r>
    </w:p>
    <w:p w:rsidR="00710E0C" w:rsidRPr="00710E0C" w:rsidRDefault="00710E0C" w:rsidP="006E153A">
      <w:pPr>
        <w:jc w:val="both"/>
        <w:rPr>
          <w:lang w:val="pl-PL" w:eastAsia="pl-PL"/>
        </w:rPr>
      </w:pPr>
      <w:r w:rsidRPr="00710E0C">
        <w:rPr>
          <w:lang w:val="pl-PL" w:eastAsia="pl-PL"/>
        </w:rPr>
        <w:t>System Geoportal pełni rolę pośredniczącą w dostępie do usług danych przestrzennych i usług infrastrukturalnych. Rola ta jest wynikiem zastosowania wzorca integratora, w którym wielu klientów (konsumentów danych przestrzennych) potrzebuje skutecznych środków w celu uzyskania dostępu do danych przestrzennych produkowanych przez różne podmioty, będące producentami danych przestrzennych. Zastosowanie wzorca integratora powoduje, że klient jest wyręczany z uciążliwego procesu pozyskiwania i utrzymywania aktualnych danych koniecznych do korzystania z usług, które pozostają w gestii wielu podmiotów.</w:t>
      </w:r>
    </w:p>
    <w:p w:rsidR="00710E0C" w:rsidRPr="00710E0C" w:rsidRDefault="00874679" w:rsidP="00710E0C">
      <w:pPr>
        <w:rPr>
          <w:lang w:val="pl-PL" w:eastAsia="pl-PL"/>
        </w:rPr>
      </w:pPr>
      <w:r>
        <w:rPr>
          <w:lang w:eastAsia="pl-PL"/>
        </w:rPr>
        <w:fldChar w:fldCharType="begin"/>
      </w:r>
      <w:r w:rsidR="00710E0C" w:rsidRPr="00710E0C">
        <w:rPr>
          <w:lang w:val="pl-PL" w:eastAsia="pl-PL"/>
        </w:rPr>
        <w:instrText xml:space="preserve"> REF _Ref295387307 \h </w:instrText>
      </w:r>
      <w:r>
        <w:rPr>
          <w:lang w:eastAsia="pl-PL"/>
        </w:rPr>
      </w:r>
      <w:r>
        <w:rPr>
          <w:lang w:eastAsia="pl-PL"/>
        </w:rPr>
        <w:fldChar w:fldCharType="separate"/>
      </w:r>
      <w:r w:rsidR="00710E0C" w:rsidRPr="00710E0C">
        <w:rPr>
          <w:lang w:val="pl-PL"/>
        </w:rPr>
        <w:t xml:space="preserve">Rysunek </w:t>
      </w:r>
      <w:r w:rsidR="00710E0C" w:rsidRPr="00710E0C">
        <w:rPr>
          <w:noProof/>
          <w:lang w:val="pl-PL"/>
        </w:rPr>
        <w:t>2</w:t>
      </w:r>
      <w:r>
        <w:rPr>
          <w:lang w:eastAsia="pl-PL"/>
        </w:rPr>
        <w:fldChar w:fldCharType="end"/>
      </w:r>
      <w:r w:rsidR="00710E0C" w:rsidRPr="00710E0C">
        <w:rPr>
          <w:lang w:val="pl-PL" w:eastAsia="pl-PL"/>
        </w:rPr>
        <w:t xml:space="preserve"> przedstawia rolę i miejsce Szyny usług G</w:t>
      </w:r>
      <w:r w:rsidR="007F4AAF">
        <w:rPr>
          <w:lang w:val="pl-PL" w:eastAsia="pl-PL"/>
        </w:rPr>
        <w:t>eoportal</w:t>
      </w:r>
      <w:r w:rsidR="00710E0C" w:rsidRPr="00710E0C">
        <w:rPr>
          <w:lang w:val="pl-PL" w:eastAsia="pl-PL"/>
        </w:rPr>
        <w:t>, która jest usługą aplikacyjną w pełniącą funkcję integratora.</w:t>
      </w:r>
    </w:p>
    <w:p w:rsidR="00710E0C" w:rsidRDefault="004044D7" w:rsidP="0000517B">
      <w:pPr>
        <w:keepNext/>
        <w:jc w:val="center"/>
      </w:pPr>
      <w:r>
        <w:rPr>
          <w:noProof/>
          <w:lang w:val="pl-PL" w:eastAsia="pl-PL"/>
        </w:rPr>
        <w:drawing>
          <wp:inline distT="0" distB="0" distL="0" distR="0" wp14:anchorId="4E872B8B" wp14:editId="329E652A">
            <wp:extent cx="4628371" cy="2619375"/>
            <wp:effectExtent l="0" t="0" r="127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318" cy="2625570"/>
                    </a:xfrm>
                    <a:prstGeom prst="rect">
                      <a:avLst/>
                    </a:prstGeom>
                    <a:noFill/>
                  </pic:spPr>
                </pic:pic>
              </a:graphicData>
            </a:graphic>
          </wp:inline>
        </w:drawing>
      </w:r>
    </w:p>
    <w:p w:rsidR="00710E0C" w:rsidRDefault="00710E0C" w:rsidP="00710E0C">
      <w:pPr>
        <w:pStyle w:val="Legenda"/>
      </w:pPr>
      <w:bookmarkStart w:id="49" w:name="_Ref295387307"/>
      <w:bookmarkStart w:id="50" w:name="_Ref295387292"/>
      <w:r>
        <w:t xml:space="preserve">Rysunek </w:t>
      </w:r>
      <w:fldSimple w:instr=" SEQ Rysunek \* ARABIC ">
        <w:r>
          <w:rPr>
            <w:noProof/>
          </w:rPr>
          <w:t>2</w:t>
        </w:r>
      </w:fldSimple>
      <w:bookmarkEnd w:id="49"/>
      <w:r>
        <w:t xml:space="preserve"> Rola integrująca szyny usług G</w:t>
      </w:r>
      <w:r w:rsidR="007F4AAF">
        <w:t>eoportal</w:t>
      </w:r>
      <w:bookmarkEnd w:id="50"/>
    </w:p>
    <w:p w:rsidR="00710E0C" w:rsidRPr="00710E0C" w:rsidRDefault="00710E0C" w:rsidP="006E153A">
      <w:pPr>
        <w:jc w:val="both"/>
        <w:rPr>
          <w:lang w:val="pl-PL" w:eastAsia="pl-PL"/>
        </w:rPr>
      </w:pPr>
      <w:r w:rsidRPr="00710E0C">
        <w:rPr>
          <w:lang w:val="pl-PL" w:eastAsia="pl-PL"/>
        </w:rPr>
        <w:t>Wszystkie systemy informatyczne budowane w ramach SIG MUSZĄ być wykonane w jednym z otwartych i prawnie niezastrzeżonych języków programowania.</w:t>
      </w:r>
    </w:p>
    <w:p w:rsidR="00710E0C" w:rsidRPr="00710E0C" w:rsidRDefault="00710E0C" w:rsidP="006E153A">
      <w:pPr>
        <w:jc w:val="both"/>
        <w:rPr>
          <w:lang w:val="pl-PL" w:eastAsia="pl-PL"/>
        </w:rPr>
      </w:pPr>
      <w:r w:rsidRPr="00710E0C">
        <w:rPr>
          <w:lang w:val="pl-PL" w:eastAsia="pl-PL"/>
        </w:rPr>
        <w:t>W ramach SIG będą świadczone usługi dostępne dla ogółu obywateli w Polsce i na świecie. Wiąże się to z potencjalnym ciągłym wzrostem liczby jego użytkowników. SIG musi zatem zapewniać elastyczność i skalowalność. Jednym z warunków osiągnięcia tych wymagań jest zapewnienie, że SIG będzie korzystał ze sprzętu dostępnego w publicznym obrocie.</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70"/>
        <w:gridCol w:w="7512"/>
      </w:tblGrid>
      <w:tr w:rsidR="00710E0C" w:rsidRPr="0028284C" w:rsidTr="006D7592">
        <w:tc>
          <w:tcPr>
            <w:tcW w:w="1170" w:type="dxa"/>
          </w:tcPr>
          <w:p w:rsidR="00710E0C" w:rsidRPr="007F4AAF" w:rsidRDefault="00710E0C" w:rsidP="006D7592">
            <w:pPr>
              <w:rPr>
                <w:lang w:eastAsia="pl-PL"/>
              </w:rPr>
            </w:pPr>
            <w:r w:rsidRPr="007F4AAF">
              <w:lastRenderedPageBreak/>
              <w:t>NF.WS</w:t>
            </w:r>
            <w:r w:rsidRPr="007F4AAF">
              <w:rPr>
                <w:lang w:eastAsia="pl-PL"/>
              </w:rPr>
              <w:t>.04</w:t>
            </w:r>
          </w:p>
        </w:tc>
        <w:tc>
          <w:tcPr>
            <w:tcW w:w="7512" w:type="dxa"/>
          </w:tcPr>
          <w:p w:rsidR="00710E0C" w:rsidRPr="007F4AAF" w:rsidRDefault="00710E0C" w:rsidP="006E153A">
            <w:pPr>
              <w:jc w:val="both"/>
              <w:rPr>
                <w:lang w:val="pl-PL" w:eastAsia="pl-PL"/>
              </w:rPr>
            </w:pPr>
            <w:r w:rsidRPr="007F4AAF">
              <w:rPr>
                <w:lang w:val="pl-PL" w:eastAsia="pl-PL"/>
              </w:rPr>
              <w:t>Systemy budowanie w ramach SIG MUSZĄ być wykonane w sposób umożliwiający jego wdrożenie na sprzęcie dostępnym w publicznym obrocie</w:t>
            </w:r>
          </w:p>
        </w:tc>
      </w:tr>
    </w:tbl>
    <w:p w:rsidR="00710E0C" w:rsidRDefault="00710E0C" w:rsidP="00710E0C">
      <w:pPr>
        <w:pStyle w:val="Nagwek2"/>
        <w:keepNext/>
        <w:keepLines/>
        <w:numPr>
          <w:ilvl w:val="1"/>
          <w:numId w:val="9"/>
        </w:numPr>
        <w:tabs>
          <w:tab w:val="left" w:pos="567"/>
          <w:tab w:val="num" w:pos="1220"/>
        </w:tabs>
        <w:suppressAutoHyphens/>
        <w:spacing w:before="240" w:after="240"/>
        <w:ind w:left="0" w:firstLine="0"/>
      </w:pPr>
      <w:bookmarkStart w:id="51" w:name="_Toc350513678"/>
      <w:bookmarkStart w:id="52" w:name="_Toc431811373"/>
      <w:r>
        <w:t>Szyna usług G</w:t>
      </w:r>
      <w:r w:rsidR="007F4AAF">
        <w:t>eoportal</w:t>
      </w:r>
      <w:bookmarkEnd w:id="51"/>
      <w:bookmarkEnd w:id="52"/>
    </w:p>
    <w:p w:rsidR="00710E0C" w:rsidRPr="00710E0C" w:rsidRDefault="00710E0C" w:rsidP="00710E0C">
      <w:pPr>
        <w:rPr>
          <w:lang w:val="pl-PL" w:eastAsia="pl-PL"/>
        </w:rPr>
      </w:pPr>
      <w:r w:rsidRPr="00710E0C">
        <w:rPr>
          <w:lang w:val="pl-PL" w:eastAsia="pl-PL"/>
        </w:rPr>
        <w:t>Szyna usług G</w:t>
      </w:r>
      <w:r w:rsidR="007F4AAF">
        <w:rPr>
          <w:lang w:val="pl-PL" w:eastAsia="pl-PL"/>
        </w:rPr>
        <w:t>eoportal</w:t>
      </w:r>
      <w:r w:rsidRPr="00710E0C">
        <w:rPr>
          <w:lang w:val="pl-PL" w:eastAsia="pl-PL"/>
        </w:rPr>
        <w:t xml:space="preserve"> jest wydzieloną usługą aplikacyjną, która stanowi jednolity punkt dostępu dla wszystkich klientów usług świadczonych przez system Geoportal.</w:t>
      </w:r>
    </w:p>
    <w:p w:rsidR="00710E0C" w:rsidRDefault="00710E0C" w:rsidP="006E153A">
      <w:pPr>
        <w:jc w:val="both"/>
        <w:rPr>
          <w:lang w:eastAsia="pl-PL"/>
        </w:rPr>
      </w:pPr>
      <w:r w:rsidRPr="00710E0C">
        <w:rPr>
          <w:lang w:val="pl-PL" w:eastAsia="pl-PL"/>
        </w:rPr>
        <w:t xml:space="preserve">Szyna usług służy głównie do rejestrowania, ewidencjonowania i wyszukiwania usług. </w:t>
      </w:r>
      <w:r>
        <w:rPr>
          <w:lang w:eastAsia="pl-PL"/>
        </w:rPr>
        <w:t>Istnieją dwa typy usług szyny usług G</w:t>
      </w:r>
      <w:r w:rsidR="007F4AAF">
        <w:rPr>
          <w:lang w:eastAsia="pl-PL"/>
        </w:rPr>
        <w:t>eoportal</w:t>
      </w:r>
      <w:r>
        <w:rPr>
          <w:lang w:eastAsia="pl-PL"/>
        </w:rPr>
        <w:t>:</w:t>
      </w:r>
    </w:p>
    <w:p w:rsidR="00710E0C" w:rsidRDefault="00710E0C" w:rsidP="00710E0C">
      <w:pPr>
        <w:pStyle w:val="Akapitzlist"/>
        <w:numPr>
          <w:ilvl w:val="0"/>
          <w:numId w:val="28"/>
        </w:numPr>
        <w:suppressAutoHyphens/>
        <w:spacing w:before="60" w:after="60"/>
        <w:jc w:val="both"/>
        <w:rPr>
          <w:lang w:eastAsia="pl-PL"/>
        </w:rPr>
      </w:pPr>
      <w:r w:rsidRPr="00710E0C">
        <w:rPr>
          <w:lang w:val="pl-PL" w:eastAsia="pl-PL"/>
        </w:rPr>
        <w:t xml:space="preserve">Usługi danych przestrzennych, które są udostępniane w postaci szyny usług danych przestrzennych, tzw. </w:t>
      </w:r>
      <w:r>
        <w:rPr>
          <w:lang w:eastAsia="pl-PL"/>
        </w:rPr>
        <w:t>SB-OGC</w:t>
      </w:r>
    </w:p>
    <w:p w:rsidR="00710E0C" w:rsidRPr="00710E0C" w:rsidRDefault="00710E0C" w:rsidP="00710E0C">
      <w:pPr>
        <w:pStyle w:val="Akapitzlist"/>
        <w:numPr>
          <w:ilvl w:val="0"/>
          <w:numId w:val="28"/>
        </w:numPr>
        <w:suppressAutoHyphens/>
        <w:spacing w:before="60" w:after="60"/>
        <w:jc w:val="both"/>
        <w:rPr>
          <w:lang w:val="pl-PL" w:eastAsia="pl-PL"/>
        </w:rPr>
      </w:pPr>
      <w:r w:rsidRPr="00710E0C">
        <w:rPr>
          <w:lang w:val="pl-PL" w:eastAsia="pl-PL"/>
        </w:rPr>
        <w:t>Usługi infrastrukturalne, które są udostępniane w postaci szyny usług SOA (SB-SOA)</w:t>
      </w:r>
    </w:p>
    <w:p w:rsidR="00710E0C" w:rsidRDefault="00746A3F" w:rsidP="00710E0C">
      <w:pPr>
        <w:keepNext/>
        <w:jc w:val="center"/>
      </w:pPr>
      <w:r>
        <w:rPr>
          <w:noProof/>
          <w:lang w:val="pl-PL" w:eastAsia="pl-PL"/>
        </w:rPr>
        <w:drawing>
          <wp:inline distT="0" distB="0" distL="0" distR="0" wp14:anchorId="5E5D8EC2" wp14:editId="463A9EB7">
            <wp:extent cx="5391150" cy="3641725"/>
            <wp:effectExtent l="19050" t="0" r="0" b="0"/>
            <wp:docPr id="6" name="Obraz 3" descr="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1"/>
                    <pic:cNvPicPr>
                      <a:picLocks noChangeAspect="1" noChangeArrowheads="1"/>
                    </pic:cNvPicPr>
                  </pic:nvPicPr>
                  <pic:blipFill>
                    <a:blip r:embed="rId10" cstate="print"/>
                    <a:srcRect/>
                    <a:stretch>
                      <a:fillRect/>
                    </a:stretch>
                  </pic:blipFill>
                  <pic:spPr bwMode="auto">
                    <a:xfrm>
                      <a:off x="0" y="0"/>
                      <a:ext cx="5391150" cy="3641725"/>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fldSimple w:instr=" SEQ Rysunek \* ARABIC ">
        <w:r>
          <w:rPr>
            <w:noProof/>
          </w:rPr>
          <w:t>3</w:t>
        </w:r>
      </w:fldSimple>
      <w:r>
        <w:t xml:space="preserve"> Szyna usług G</w:t>
      </w:r>
      <w:r w:rsidR="007F4AAF">
        <w:t>eoportal</w:t>
      </w:r>
    </w:p>
    <w:p w:rsidR="00710E0C" w:rsidRPr="00710E0C" w:rsidRDefault="00710E0C" w:rsidP="00710E0C">
      <w:pPr>
        <w:rPr>
          <w:lang w:val="pl-PL" w:eastAsia="pl-PL"/>
        </w:rPr>
      </w:pPr>
      <w:r w:rsidRPr="00710E0C">
        <w:rPr>
          <w:lang w:val="pl-PL" w:eastAsia="pl-PL"/>
        </w:rPr>
        <w:t>Klientami usług dostępnych na szynie usług G</w:t>
      </w:r>
      <w:r w:rsidR="007F4AAF">
        <w:rPr>
          <w:lang w:val="pl-PL" w:eastAsia="pl-PL"/>
        </w:rPr>
        <w:t>eoportal</w:t>
      </w:r>
      <w:r w:rsidRPr="00710E0C">
        <w:rPr>
          <w:lang w:val="pl-PL" w:eastAsia="pl-PL"/>
        </w:rPr>
        <w:t xml:space="preserve"> są:</w:t>
      </w:r>
    </w:p>
    <w:p w:rsidR="00710E0C" w:rsidRPr="00710E0C" w:rsidRDefault="00710E0C" w:rsidP="00710E0C">
      <w:pPr>
        <w:pStyle w:val="Akapitzlist"/>
        <w:numPr>
          <w:ilvl w:val="0"/>
          <w:numId w:val="29"/>
        </w:numPr>
        <w:suppressAutoHyphens/>
        <w:spacing w:before="60" w:after="60"/>
        <w:jc w:val="both"/>
        <w:rPr>
          <w:lang w:val="pl-PL" w:eastAsia="pl-PL"/>
        </w:rPr>
      </w:pPr>
      <w:r w:rsidRPr="00710E0C">
        <w:rPr>
          <w:lang w:val="pl-PL" w:eastAsia="pl-PL"/>
        </w:rPr>
        <w:t>Geoportale, w tym portal krajowy, portal branżowe, portal INSPIRE oraz dowolny, inny geoportal.</w:t>
      </w:r>
    </w:p>
    <w:p w:rsidR="00710E0C" w:rsidRPr="00710E0C" w:rsidRDefault="00710E0C" w:rsidP="00710E0C">
      <w:pPr>
        <w:pStyle w:val="Akapitzlist"/>
        <w:numPr>
          <w:ilvl w:val="0"/>
          <w:numId w:val="29"/>
        </w:numPr>
        <w:suppressAutoHyphens/>
        <w:spacing w:before="60" w:after="60"/>
        <w:jc w:val="both"/>
        <w:rPr>
          <w:lang w:val="pl-PL" w:eastAsia="pl-PL"/>
        </w:rPr>
      </w:pPr>
      <w:r w:rsidRPr="00710E0C">
        <w:rPr>
          <w:lang w:val="pl-PL" w:eastAsia="pl-PL"/>
        </w:rPr>
        <w:t>Systemy dziedzinowe, w tym system zarządzania BDOT, system zarządzania PRG, aplikacja EMUiA, system zarządzania NMT oraz dowolny inny system dziedzinowy.</w:t>
      </w:r>
    </w:p>
    <w:p w:rsidR="00710E0C" w:rsidRPr="00710E0C" w:rsidRDefault="00710E0C" w:rsidP="00710E0C">
      <w:pPr>
        <w:pStyle w:val="Akapitzlist"/>
        <w:numPr>
          <w:ilvl w:val="0"/>
          <w:numId w:val="29"/>
        </w:numPr>
        <w:suppressAutoHyphens/>
        <w:spacing w:before="60" w:after="60"/>
        <w:jc w:val="both"/>
        <w:rPr>
          <w:lang w:val="pl-PL" w:eastAsia="pl-PL"/>
        </w:rPr>
      </w:pPr>
      <w:r w:rsidRPr="00710E0C">
        <w:rPr>
          <w:lang w:val="pl-PL" w:eastAsia="pl-PL"/>
        </w:rPr>
        <w:t>Węzły IIP, w tym w szczególności węzeł centralny IIP oraz lokalne węzły IIP i węzeł monitorowania.</w:t>
      </w:r>
    </w:p>
    <w:p w:rsidR="00710E0C" w:rsidRDefault="006E153A" w:rsidP="00710E0C">
      <w:pPr>
        <w:keepNext/>
      </w:pPr>
      <w:r w:rsidRPr="006E153A">
        <w:rPr>
          <w:noProof/>
          <w:lang w:val="pl-PL" w:eastAsia="pl-PL"/>
        </w:rPr>
        <w:lastRenderedPageBreak/>
        <w:t xml:space="preserve"> </w:t>
      </w:r>
      <w:r w:rsidR="00746A3F">
        <w:rPr>
          <w:noProof/>
          <w:lang w:val="pl-PL" w:eastAsia="pl-PL"/>
        </w:rPr>
        <w:drawing>
          <wp:inline distT="0" distB="0" distL="0" distR="0" wp14:anchorId="51E79E15" wp14:editId="3DA87009">
            <wp:extent cx="5756910" cy="403161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756910" cy="4031615"/>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fldSimple w:instr=" SEQ Rysunek \* ARABIC ">
        <w:r>
          <w:rPr>
            <w:noProof/>
          </w:rPr>
          <w:t>4</w:t>
        </w:r>
      </w:fldSimple>
      <w:r>
        <w:t xml:space="preserve"> Klienci szyny usług G</w:t>
      </w:r>
      <w:r w:rsidR="007F4AAF">
        <w:t>eoportal</w:t>
      </w:r>
    </w:p>
    <w:p w:rsidR="00710E0C" w:rsidRPr="007F4AAF" w:rsidRDefault="00710E0C" w:rsidP="00710E0C">
      <w:pPr>
        <w:rPr>
          <w:lang w:val="pl-PL" w:eastAsia="pl-PL"/>
        </w:rPr>
      </w:pP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rPr>
                <w:lang w:eastAsia="pl-PL"/>
              </w:rPr>
              <w:t>NF.AR.05</w:t>
            </w:r>
          </w:p>
        </w:tc>
        <w:tc>
          <w:tcPr>
            <w:tcW w:w="7529" w:type="dxa"/>
          </w:tcPr>
          <w:p w:rsidR="00710E0C" w:rsidRPr="007F4AAF" w:rsidRDefault="00710E0C" w:rsidP="006D7592">
            <w:pPr>
              <w:rPr>
                <w:lang w:val="pl-PL" w:eastAsia="pl-PL"/>
              </w:rPr>
            </w:pPr>
            <w:r w:rsidRPr="007F4AAF">
              <w:rPr>
                <w:lang w:val="pl-PL" w:eastAsia="pl-PL"/>
              </w:rPr>
              <w:t>Szyna usług G</w:t>
            </w:r>
            <w:r w:rsidR="007F4AAF" w:rsidRPr="007F4AAF">
              <w:rPr>
                <w:lang w:val="pl-PL" w:eastAsia="pl-PL"/>
              </w:rPr>
              <w:t>eoportal</w:t>
            </w:r>
            <w:r w:rsidRPr="007F4AAF">
              <w:rPr>
                <w:lang w:val="pl-PL" w:eastAsia="pl-PL"/>
              </w:rPr>
              <w:t xml:space="preserve"> jest wydzieloną usługą aplikacyjną, stanowiącą jednolity punkt dostępu dla wszystkich klientów usług świadczonych przez system Geoportal.</w:t>
            </w:r>
          </w:p>
        </w:tc>
      </w:tr>
    </w:tbl>
    <w:p w:rsidR="00710E0C" w:rsidRPr="00710E0C" w:rsidRDefault="00710E0C" w:rsidP="00005147">
      <w:pPr>
        <w:jc w:val="both"/>
        <w:rPr>
          <w:lang w:val="pl-PL" w:eastAsia="pl-PL"/>
        </w:rPr>
      </w:pPr>
      <w:r w:rsidRPr="00710E0C">
        <w:rPr>
          <w:lang w:val="pl-PL" w:eastAsia="pl-PL"/>
        </w:rPr>
        <w:t>Wydzielenie usługi aplikacyjnej pozwala na zarezerwowanie wydzielonych zasobów sprzętowych  do jej realizacji. Dzięki takiemu podejściu zapewniona jest elastyczność i skalowalność rozwiązania. Dodatkowo, wydzielony komponent aplikacyjny daje możliwość planowania dedykowanej strategii dla szyny usług, na przykład jej rozbudowy lub zastąpienia w przyszłości innym, bardziej odpowiednim</w:t>
      </w:r>
      <w:r w:rsidRPr="00710E0C" w:rsidDel="0036233B">
        <w:rPr>
          <w:lang w:val="pl-PL" w:eastAsia="pl-PL"/>
        </w:rPr>
        <w:t xml:space="preserve"> </w:t>
      </w:r>
      <w:r w:rsidRPr="00710E0C">
        <w:rPr>
          <w:lang w:val="pl-PL" w:eastAsia="pl-PL"/>
        </w:rPr>
        <w:t>rozwiązaniem.</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rPr>
                <w:lang w:eastAsia="pl-PL"/>
              </w:rPr>
              <w:t>NF.AR. 07</w:t>
            </w:r>
          </w:p>
        </w:tc>
        <w:tc>
          <w:tcPr>
            <w:tcW w:w="7529" w:type="dxa"/>
          </w:tcPr>
          <w:p w:rsidR="00710E0C" w:rsidRPr="007F4AAF" w:rsidRDefault="00710E0C" w:rsidP="00005147">
            <w:pPr>
              <w:jc w:val="both"/>
              <w:rPr>
                <w:lang w:val="pl-PL" w:eastAsia="pl-PL"/>
              </w:rPr>
            </w:pPr>
            <w:r w:rsidRPr="007F4AAF">
              <w:rPr>
                <w:lang w:val="pl-PL" w:eastAsia="pl-PL"/>
              </w:rPr>
              <w:t>Szyna usług G</w:t>
            </w:r>
            <w:r w:rsidR="007F4AAF" w:rsidRPr="007F4AAF">
              <w:rPr>
                <w:lang w:val="pl-PL" w:eastAsia="pl-PL"/>
              </w:rPr>
              <w:t>eoportal</w:t>
            </w:r>
            <w:r w:rsidRPr="007F4AAF">
              <w:rPr>
                <w:lang w:val="pl-PL" w:eastAsia="pl-PL"/>
              </w:rPr>
              <w:t xml:space="preserve"> posiada dwa oddzielne rejestry usług: szynę usług dedykowaną dla usług SOA (SB-SOA) oraz szynę usług dedykowaną dla usług danych przestrzennych (SB-OGC).</w:t>
            </w:r>
          </w:p>
        </w:tc>
      </w:tr>
      <w:tr w:rsidR="00710E0C" w:rsidRPr="0028284C" w:rsidTr="006D7592">
        <w:tc>
          <w:tcPr>
            <w:tcW w:w="1115" w:type="dxa"/>
          </w:tcPr>
          <w:p w:rsidR="00710E0C" w:rsidRPr="007F4AAF" w:rsidRDefault="00710E0C" w:rsidP="006D7592">
            <w:pPr>
              <w:rPr>
                <w:lang w:eastAsia="pl-PL"/>
              </w:rPr>
            </w:pPr>
            <w:r w:rsidRPr="007F4AAF">
              <w:rPr>
                <w:lang w:eastAsia="pl-PL"/>
              </w:rPr>
              <w:t>NF.AR.08</w:t>
            </w:r>
          </w:p>
        </w:tc>
        <w:tc>
          <w:tcPr>
            <w:tcW w:w="7529" w:type="dxa"/>
          </w:tcPr>
          <w:p w:rsidR="00710E0C" w:rsidRPr="007F4AAF" w:rsidRDefault="00710E0C" w:rsidP="00005147">
            <w:pPr>
              <w:jc w:val="both"/>
              <w:rPr>
                <w:lang w:val="pl-PL"/>
              </w:rPr>
            </w:pPr>
            <w:r w:rsidRPr="007F4AAF">
              <w:rPr>
                <w:lang w:val="pl-PL"/>
              </w:rPr>
              <w:t>Rejestr usług danych przestrzennych na szynie usług G</w:t>
            </w:r>
            <w:r w:rsidR="007F4AAF" w:rsidRPr="007F4AAF">
              <w:rPr>
                <w:lang w:val="pl-PL"/>
              </w:rPr>
              <w:t>eoportal</w:t>
            </w:r>
            <w:r w:rsidRPr="007F4AAF">
              <w:rPr>
                <w:lang w:val="pl-PL"/>
              </w:rPr>
              <w:t xml:space="preserve"> (SB-OGC) zawiera informacje o wszystkich usługach danych przestrzennych udostępnionych w ramach węzła centralnego IIP</w:t>
            </w:r>
          </w:p>
        </w:tc>
      </w:tr>
      <w:tr w:rsidR="00710E0C" w:rsidRPr="0028284C" w:rsidTr="006D7592">
        <w:tc>
          <w:tcPr>
            <w:tcW w:w="1115" w:type="dxa"/>
          </w:tcPr>
          <w:p w:rsidR="00710E0C" w:rsidRPr="007F4AAF" w:rsidRDefault="00710E0C" w:rsidP="006D7592">
            <w:pPr>
              <w:rPr>
                <w:lang w:eastAsia="pl-PL"/>
              </w:rPr>
            </w:pPr>
            <w:r w:rsidRPr="007F4AAF">
              <w:rPr>
                <w:lang w:eastAsia="pl-PL"/>
              </w:rPr>
              <w:t>NF.AR.12</w:t>
            </w:r>
          </w:p>
        </w:tc>
        <w:tc>
          <w:tcPr>
            <w:tcW w:w="7529" w:type="dxa"/>
          </w:tcPr>
          <w:p w:rsidR="00710E0C" w:rsidRPr="007F4AAF" w:rsidRDefault="00710E0C" w:rsidP="00005147">
            <w:pPr>
              <w:jc w:val="both"/>
              <w:rPr>
                <w:lang w:val="pl-PL" w:eastAsia="pl-PL"/>
              </w:rPr>
            </w:pPr>
            <w:r w:rsidRPr="007F4AAF">
              <w:rPr>
                <w:lang w:val="pl-PL"/>
              </w:rPr>
              <w:t>Szyna usług G</w:t>
            </w:r>
            <w:r w:rsidR="007F4AAF" w:rsidRPr="007F4AAF">
              <w:rPr>
                <w:lang w:val="pl-PL"/>
              </w:rPr>
              <w:t>eoportal</w:t>
            </w:r>
            <w:r w:rsidRPr="007F4AAF">
              <w:rPr>
                <w:lang w:val="pl-PL"/>
              </w:rPr>
              <w:t xml:space="preserve"> udostępnia systemom dziedzinowym usługi infrastrukturalne G2</w:t>
            </w:r>
          </w:p>
        </w:tc>
      </w:tr>
      <w:tr w:rsidR="00710E0C" w:rsidRPr="0028284C" w:rsidTr="006D7592">
        <w:tc>
          <w:tcPr>
            <w:tcW w:w="1115" w:type="dxa"/>
          </w:tcPr>
          <w:p w:rsidR="00710E0C" w:rsidRPr="007F4AAF" w:rsidRDefault="00710E0C" w:rsidP="006D7592">
            <w:pPr>
              <w:rPr>
                <w:lang w:eastAsia="pl-PL"/>
              </w:rPr>
            </w:pPr>
            <w:r w:rsidRPr="007F4AAF">
              <w:rPr>
                <w:lang w:eastAsia="pl-PL"/>
              </w:rPr>
              <w:lastRenderedPageBreak/>
              <w:t>NF.AR.13</w:t>
            </w:r>
          </w:p>
        </w:tc>
        <w:tc>
          <w:tcPr>
            <w:tcW w:w="7529" w:type="dxa"/>
          </w:tcPr>
          <w:p w:rsidR="00710E0C" w:rsidRPr="007F4AAF" w:rsidRDefault="00710E0C" w:rsidP="00005147">
            <w:pPr>
              <w:jc w:val="both"/>
              <w:rPr>
                <w:lang w:val="pl-PL" w:eastAsia="pl-PL"/>
              </w:rPr>
            </w:pPr>
            <w:r w:rsidRPr="007F4AAF">
              <w:rPr>
                <w:lang w:val="pl-PL"/>
              </w:rPr>
              <w:t>Szyna usług G</w:t>
            </w:r>
            <w:r w:rsidR="007F4AAF" w:rsidRPr="007F4AAF">
              <w:rPr>
                <w:lang w:val="pl-PL"/>
              </w:rPr>
              <w:t>eoportal</w:t>
            </w:r>
            <w:r w:rsidRPr="007F4AAF">
              <w:rPr>
                <w:lang w:val="pl-PL"/>
              </w:rPr>
              <w:t xml:space="preserve"> udostępnia systemom dziedzinowym usługi danych przestrzennych</w:t>
            </w:r>
          </w:p>
        </w:tc>
      </w:tr>
      <w:tr w:rsidR="00710E0C" w:rsidRPr="0028284C" w:rsidTr="006D7592">
        <w:tc>
          <w:tcPr>
            <w:tcW w:w="1115" w:type="dxa"/>
          </w:tcPr>
          <w:p w:rsidR="00710E0C" w:rsidRPr="007F4AAF" w:rsidRDefault="00710E0C" w:rsidP="006D7592">
            <w:pPr>
              <w:rPr>
                <w:lang w:val="pl-PL" w:eastAsia="pl-PL"/>
              </w:rPr>
            </w:pPr>
          </w:p>
        </w:tc>
        <w:tc>
          <w:tcPr>
            <w:tcW w:w="7529" w:type="dxa"/>
          </w:tcPr>
          <w:p w:rsidR="00710E0C" w:rsidRPr="007F4AAF" w:rsidRDefault="00710E0C" w:rsidP="00005147">
            <w:pPr>
              <w:jc w:val="both"/>
              <w:rPr>
                <w:lang w:val="pl-PL"/>
              </w:rPr>
            </w:pPr>
            <w:r w:rsidRPr="007F4AAF">
              <w:rPr>
                <w:lang w:val="pl-PL"/>
              </w:rPr>
              <w:t>Prawa dostępu do usług szyny usług G</w:t>
            </w:r>
            <w:r w:rsidR="007F4AAF" w:rsidRPr="007F4AAF">
              <w:rPr>
                <w:lang w:val="pl-PL"/>
              </w:rPr>
              <w:t>eoportal</w:t>
            </w:r>
            <w:r w:rsidRPr="007F4AAF">
              <w:rPr>
                <w:lang w:val="pl-PL"/>
              </w:rPr>
              <w:t xml:space="preserve"> są określona i zarządzane przez właściciela usługi</w:t>
            </w:r>
          </w:p>
        </w:tc>
      </w:tr>
      <w:tr w:rsidR="00710E0C" w:rsidRPr="0028284C" w:rsidTr="006D7592">
        <w:tc>
          <w:tcPr>
            <w:tcW w:w="1115" w:type="dxa"/>
            <w:tcBorders>
              <w:top w:val="single" w:sz="8" w:space="0" w:color="9BBB59"/>
              <w:left w:val="single" w:sz="8" w:space="0" w:color="9BBB59"/>
              <w:bottom w:val="single" w:sz="8" w:space="0" w:color="9BBB59"/>
              <w:right w:val="single" w:sz="8" w:space="0" w:color="9BBB59"/>
            </w:tcBorders>
          </w:tcPr>
          <w:p w:rsidR="00710E0C" w:rsidRPr="007F4AAF" w:rsidRDefault="00710E0C" w:rsidP="006D7592">
            <w:pPr>
              <w:rPr>
                <w:lang w:eastAsia="pl-PL"/>
              </w:rPr>
            </w:pPr>
            <w:r w:rsidRPr="007F4AAF">
              <w:rPr>
                <w:lang w:eastAsia="pl-PL"/>
              </w:rPr>
              <w:t>NF.AR.21</w:t>
            </w:r>
          </w:p>
        </w:tc>
        <w:tc>
          <w:tcPr>
            <w:tcW w:w="7529" w:type="dxa"/>
            <w:tcBorders>
              <w:top w:val="single" w:sz="8" w:space="0" w:color="9BBB59"/>
              <w:left w:val="single" w:sz="8" w:space="0" w:color="9BBB59"/>
              <w:bottom w:val="single" w:sz="8" w:space="0" w:color="9BBB59"/>
              <w:right w:val="single" w:sz="8" w:space="0" w:color="9BBB59"/>
            </w:tcBorders>
          </w:tcPr>
          <w:p w:rsidR="00710E0C" w:rsidRPr="007F4AAF" w:rsidRDefault="00710E0C" w:rsidP="00005147">
            <w:pPr>
              <w:jc w:val="both"/>
              <w:rPr>
                <w:lang w:val="pl-PL" w:eastAsia="pl-PL"/>
              </w:rPr>
            </w:pPr>
            <w:r w:rsidRPr="007F4AAF">
              <w:rPr>
                <w:lang w:val="pl-PL" w:eastAsia="pl-PL"/>
              </w:rPr>
              <w:t>Wszystkie usługi dostępne na szynie usług podlegają monitorowaniu</w:t>
            </w:r>
          </w:p>
        </w:tc>
      </w:tr>
      <w:tr w:rsidR="00710E0C" w:rsidRPr="0028284C" w:rsidTr="006D7592">
        <w:tc>
          <w:tcPr>
            <w:tcW w:w="1115" w:type="dxa"/>
          </w:tcPr>
          <w:p w:rsidR="00710E0C" w:rsidRPr="007F4AAF" w:rsidRDefault="00710E0C" w:rsidP="006D7592">
            <w:pPr>
              <w:rPr>
                <w:lang w:eastAsia="pl-PL"/>
              </w:rPr>
            </w:pPr>
            <w:r w:rsidRPr="007F4AAF">
              <w:rPr>
                <w:lang w:eastAsia="pl-PL"/>
              </w:rPr>
              <w:t>NF.AR.22</w:t>
            </w:r>
          </w:p>
        </w:tc>
        <w:tc>
          <w:tcPr>
            <w:tcW w:w="7529" w:type="dxa"/>
          </w:tcPr>
          <w:p w:rsidR="00710E0C" w:rsidRPr="007F4AAF" w:rsidRDefault="00710E0C" w:rsidP="00005147">
            <w:pPr>
              <w:jc w:val="both"/>
              <w:rPr>
                <w:lang w:val="pl-PL" w:eastAsia="pl-PL"/>
              </w:rPr>
            </w:pPr>
            <w:r w:rsidRPr="007F4AAF">
              <w:rPr>
                <w:lang w:val="pl-PL" w:eastAsia="pl-PL"/>
              </w:rPr>
              <w:t>Usługa monitorowania SIG nie zapewnia monitorowania elementów procesów realizowanych wewnątrz systemów dziedzinowych</w:t>
            </w:r>
          </w:p>
        </w:tc>
      </w:tr>
    </w:tbl>
    <w:p w:rsidR="00710E0C" w:rsidRPr="00710E0C" w:rsidRDefault="00710E0C" w:rsidP="00005147">
      <w:pPr>
        <w:jc w:val="both"/>
        <w:rPr>
          <w:lang w:val="pl-PL" w:eastAsia="pl-PL"/>
        </w:rPr>
      </w:pPr>
      <w:r w:rsidRPr="00710E0C">
        <w:rPr>
          <w:lang w:val="pl-PL" w:eastAsia="pl-PL"/>
        </w:rPr>
        <w:t>Parametry specyficzne dla systemów dziedzinowych powinny być monitorowane w systemach dziedzinowych.</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t>NF.BE</w:t>
            </w:r>
            <w:r w:rsidRPr="007F4AAF">
              <w:rPr>
                <w:lang w:eastAsia="pl-PL"/>
              </w:rPr>
              <w:t>.04</w:t>
            </w:r>
          </w:p>
        </w:tc>
        <w:tc>
          <w:tcPr>
            <w:tcW w:w="7529" w:type="dxa"/>
          </w:tcPr>
          <w:p w:rsidR="00710E0C" w:rsidRPr="007F4AAF" w:rsidRDefault="00710E0C" w:rsidP="00005147">
            <w:pPr>
              <w:jc w:val="both"/>
              <w:rPr>
                <w:lang w:val="pl-PL" w:eastAsia="pl-PL"/>
              </w:rPr>
            </w:pPr>
            <w:r w:rsidRPr="007F4AAF">
              <w:rPr>
                <w:lang w:val="pl-PL" w:eastAsia="pl-PL"/>
              </w:rPr>
              <w:t>Usługi SIG muszą mieć zdefiniowane grupy użytkowników i prawa dostępu zgodnie z polityką bezpieczeństwa GUGiK</w:t>
            </w:r>
          </w:p>
        </w:tc>
      </w:tr>
      <w:tr w:rsidR="00710E0C" w:rsidRPr="0028284C" w:rsidTr="006D7592">
        <w:tc>
          <w:tcPr>
            <w:tcW w:w="1115" w:type="dxa"/>
          </w:tcPr>
          <w:p w:rsidR="00710E0C" w:rsidRPr="007F4AAF" w:rsidRDefault="00710E0C" w:rsidP="006D7592">
            <w:r w:rsidRPr="007F4AAF">
              <w:t>NF.BE</w:t>
            </w:r>
            <w:r w:rsidRPr="007F4AAF">
              <w:rPr>
                <w:lang w:eastAsia="pl-PL"/>
              </w:rPr>
              <w:t>.05</w:t>
            </w:r>
          </w:p>
        </w:tc>
        <w:tc>
          <w:tcPr>
            <w:tcW w:w="7529" w:type="dxa"/>
          </w:tcPr>
          <w:p w:rsidR="00710E0C" w:rsidRPr="007F4AAF" w:rsidRDefault="00710E0C" w:rsidP="00005147">
            <w:pPr>
              <w:jc w:val="both"/>
              <w:rPr>
                <w:lang w:val="pl-PL" w:eastAsia="pl-PL"/>
              </w:rPr>
            </w:pPr>
            <w:r w:rsidRPr="007F4AAF">
              <w:rPr>
                <w:lang w:val="pl-PL" w:eastAsia="pl-PL"/>
              </w:rPr>
              <w:t>Sposób świadczenia usług przez SIG MUSI być zgodne z polityką bezpieczeństwa GUGiK</w:t>
            </w:r>
          </w:p>
        </w:tc>
      </w:tr>
      <w:tr w:rsidR="00710E0C" w:rsidRPr="0028284C" w:rsidTr="006D7592">
        <w:tc>
          <w:tcPr>
            <w:tcW w:w="1115" w:type="dxa"/>
          </w:tcPr>
          <w:p w:rsidR="00710E0C" w:rsidRPr="007F4AAF" w:rsidRDefault="00710E0C" w:rsidP="006D7592">
            <w:r w:rsidRPr="007F4AAF">
              <w:t>NF.BE</w:t>
            </w:r>
            <w:r w:rsidRPr="007F4AAF">
              <w:rPr>
                <w:lang w:eastAsia="pl-PL"/>
              </w:rPr>
              <w:t>.06</w:t>
            </w:r>
          </w:p>
        </w:tc>
        <w:tc>
          <w:tcPr>
            <w:tcW w:w="7529" w:type="dxa"/>
          </w:tcPr>
          <w:p w:rsidR="00710E0C" w:rsidRPr="007F4AAF" w:rsidRDefault="00710E0C" w:rsidP="00005147">
            <w:pPr>
              <w:jc w:val="both"/>
              <w:rPr>
                <w:lang w:val="pl-PL" w:eastAsia="pl-PL"/>
              </w:rPr>
            </w:pPr>
            <w:r w:rsidRPr="007F4AAF">
              <w:rPr>
                <w:lang w:val="pl-PL" w:eastAsia="pl-PL"/>
              </w:rPr>
              <w:t>System G</w:t>
            </w:r>
            <w:r w:rsidR="007F4AAF" w:rsidRPr="007F4AAF">
              <w:rPr>
                <w:lang w:val="pl-PL" w:eastAsia="pl-PL"/>
              </w:rPr>
              <w:t>eoportal</w:t>
            </w:r>
            <w:r w:rsidRPr="007F4AAF">
              <w:rPr>
                <w:lang w:val="pl-PL" w:eastAsia="pl-PL"/>
              </w:rPr>
              <w:t xml:space="preserve"> MUSI zapewniać rozliczalność operacji związanych z udostępnianiem usług</w:t>
            </w:r>
          </w:p>
        </w:tc>
      </w:tr>
    </w:tbl>
    <w:p w:rsidR="00710E0C" w:rsidRPr="00710E0C" w:rsidRDefault="00710E0C" w:rsidP="00005147">
      <w:pPr>
        <w:jc w:val="both"/>
        <w:rPr>
          <w:lang w:val="pl-PL" w:eastAsia="pl-PL"/>
        </w:rPr>
      </w:pPr>
      <w:r w:rsidRPr="00710E0C">
        <w:rPr>
          <w:lang w:val="pl-PL" w:eastAsia="pl-PL"/>
        </w:rPr>
        <w:t>Dane przestrzenne należą do najbardziej wartościowych aktywów GUGiK, dlatego dostęp do nich musi podlegać dokładnemu monitorowaniu. Rozliczalność określa informacje na temat wykonywanych w systemie operacji oraz ich właścicieli, czyli osób lub systemów wykonujących dane operacje.</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70"/>
        <w:gridCol w:w="7512"/>
      </w:tblGrid>
      <w:tr w:rsidR="00710E0C" w:rsidRPr="0028284C" w:rsidTr="006D7592">
        <w:tc>
          <w:tcPr>
            <w:tcW w:w="1170" w:type="dxa"/>
          </w:tcPr>
          <w:p w:rsidR="00710E0C" w:rsidRPr="007F4AAF" w:rsidRDefault="00710E0C" w:rsidP="006D7592">
            <w:r w:rsidRPr="007F4AAF">
              <w:t>NF.WS</w:t>
            </w:r>
            <w:r w:rsidRPr="007F4AAF">
              <w:rPr>
                <w:lang w:eastAsia="pl-PL"/>
              </w:rPr>
              <w:t>.05</w:t>
            </w:r>
          </w:p>
        </w:tc>
        <w:tc>
          <w:tcPr>
            <w:tcW w:w="7512" w:type="dxa"/>
          </w:tcPr>
          <w:p w:rsidR="00710E0C" w:rsidRPr="007F4AAF" w:rsidRDefault="00710E0C" w:rsidP="00005147">
            <w:pPr>
              <w:jc w:val="both"/>
              <w:rPr>
                <w:lang w:val="pl-PL" w:eastAsia="pl-PL"/>
              </w:rPr>
            </w:pPr>
            <w:r w:rsidRPr="007F4AAF">
              <w:rPr>
                <w:lang w:val="pl-PL" w:eastAsia="pl-PL"/>
              </w:rPr>
              <w:t>Usługi dostępne poprzez szynę usług systemu Geoportal muszą umożliwiać utrzymanie zgodnie z dokumentem „Koncepcja utrzymania i eksploatacji Geoportal ”i za pomocą narzędzi wdrożonych w CODGiK</w:t>
            </w:r>
          </w:p>
        </w:tc>
      </w:tr>
      <w:tr w:rsidR="00710E0C" w:rsidRPr="0028284C" w:rsidTr="006D7592">
        <w:tc>
          <w:tcPr>
            <w:tcW w:w="1170" w:type="dxa"/>
          </w:tcPr>
          <w:p w:rsidR="00710E0C" w:rsidRPr="007F4AAF" w:rsidRDefault="00710E0C" w:rsidP="006D7592">
            <w:pPr>
              <w:rPr>
                <w:lang w:eastAsia="pl-PL"/>
              </w:rPr>
            </w:pPr>
            <w:r w:rsidRPr="007F4AAF">
              <w:t>NF.WS</w:t>
            </w:r>
            <w:r w:rsidRPr="007F4AAF">
              <w:rPr>
                <w:lang w:eastAsia="pl-PL"/>
              </w:rPr>
              <w:t>.06</w:t>
            </w:r>
          </w:p>
        </w:tc>
        <w:tc>
          <w:tcPr>
            <w:tcW w:w="7512" w:type="dxa"/>
          </w:tcPr>
          <w:p w:rsidR="00710E0C" w:rsidRPr="007F4AAF" w:rsidRDefault="00710E0C" w:rsidP="00005147">
            <w:pPr>
              <w:jc w:val="both"/>
              <w:rPr>
                <w:lang w:val="pl-PL" w:eastAsia="pl-PL"/>
              </w:rPr>
            </w:pPr>
            <w:r w:rsidRPr="007F4AAF">
              <w:rPr>
                <w:lang w:val="pl-PL" w:eastAsia="pl-PL"/>
              </w:rPr>
              <w:t>Systemy tworzone w ramach SIG MUSZĄ być wykonane w sposób umożliwiający jego wdrożenie w środowisku wirtualnym (na maszynie wirtualnej imitującej fizyczną konfigurację sprzętową odpowiadającą konfiguracji rzeczywistej)</w:t>
            </w:r>
          </w:p>
        </w:tc>
      </w:tr>
      <w:tr w:rsidR="00710E0C" w:rsidRPr="0028284C" w:rsidTr="006D7592">
        <w:tc>
          <w:tcPr>
            <w:tcW w:w="1170" w:type="dxa"/>
          </w:tcPr>
          <w:p w:rsidR="00710E0C" w:rsidRPr="007F4AAF" w:rsidRDefault="00710E0C" w:rsidP="006D7592">
            <w:r w:rsidRPr="007F4AAF">
              <w:t>NF.WS</w:t>
            </w:r>
            <w:r w:rsidRPr="007F4AAF">
              <w:rPr>
                <w:lang w:eastAsia="pl-PL"/>
              </w:rPr>
              <w:t>.07</w:t>
            </w:r>
          </w:p>
        </w:tc>
        <w:tc>
          <w:tcPr>
            <w:tcW w:w="7512" w:type="dxa"/>
          </w:tcPr>
          <w:p w:rsidR="00710E0C" w:rsidRPr="007F4AAF" w:rsidRDefault="00710E0C" w:rsidP="00005147">
            <w:pPr>
              <w:jc w:val="both"/>
              <w:rPr>
                <w:lang w:val="pl-PL" w:eastAsia="pl-PL"/>
              </w:rPr>
            </w:pPr>
            <w:r w:rsidRPr="007F4AAF">
              <w:rPr>
                <w:lang w:val="pl-PL" w:eastAsia="pl-PL"/>
              </w:rPr>
              <w:t>Każda usługa aplikacyjna POWINNA posiadać interfejs dostępu w postaci usługi sieciowej (Web service)</w:t>
            </w:r>
          </w:p>
        </w:tc>
      </w:tr>
      <w:tr w:rsidR="00710E0C" w:rsidRPr="0028284C" w:rsidTr="006D7592">
        <w:tc>
          <w:tcPr>
            <w:tcW w:w="1170" w:type="dxa"/>
            <w:tcBorders>
              <w:top w:val="single" w:sz="8" w:space="0" w:color="9BBB59"/>
              <w:left w:val="single" w:sz="8" w:space="0" w:color="9BBB59"/>
              <w:bottom w:val="single" w:sz="8" w:space="0" w:color="9BBB59"/>
              <w:right w:val="single" w:sz="8" w:space="0" w:color="9BBB59"/>
            </w:tcBorders>
          </w:tcPr>
          <w:p w:rsidR="00710E0C" w:rsidRPr="007F4AAF" w:rsidRDefault="00710E0C" w:rsidP="006D7592">
            <w:r w:rsidRPr="007F4AAF">
              <w:t>NF.WS.09</w:t>
            </w:r>
          </w:p>
        </w:tc>
        <w:tc>
          <w:tcPr>
            <w:tcW w:w="7512" w:type="dxa"/>
            <w:tcBorders>
              <w:top w:val="single" w:sz="8" w:space="0" w:color="9BBB59"/>
              <w:left w:val="single" w:sz="8" w:space="0" w:color="9BBB59"/>
              <w:bottom w:val="single" w:sz="8" w:space="0" w:color="9BBB59"/>
              <w:right w:val="single" w:sz="8" w:space="0" w:color="9BBB59"/>
            </w:tcBorders>
          </w:tcPr>
          <w:p w:rsidR="00710E0C" w:rsidRPr="007F4AAF" w:rsidRDefault="00710E0C" w:rsidP="00005147">
            <w:pPr>
              <w:jc w:val="both"/>
              <w:rPr>
                <w:lang w:val="pl-PL" w:eastAsia="pl-PL"/>
              </w:rPr>
            </w:pPr>
            <w:r w:rsidRPr="007F4AAF">
              <w:rPr>
                <w:lang w:val="pl-PL" w:eastAsia="pl-PL"/>
              </w:rPr>
              <w:t>Każda usługa aplikacyjna musi posiadać udokumentowany interfejs dostępu umożliwiający klientom jej wykorzystanie zgodnie z przeznaczeniem</w:t>
            </w:r>
          </w:p>
        </w:tc>
      </w:tr>
    </w:tbl>
    <w:p w:rsidR="00710E0C" w:rsidRPr="00710E0C" w:rsidRDefault="00710E0C" w:rsidP="00710E0C">
      <w:pPr>
        <w:rPr>
          <w:lang w:val="pl-PL" w:eastAsia="pl-PL"/>
        </w:rPr>
      </w:pPr>
      <w:r w:rsidRPr="00710E0C">
        <w:rPr>
          <w:lang w:val="pl-PL" w:eastAsia="pl-PL"/>
        </w:rPr>
        <w:t xml:space="preserve">Takie podejście zapewni modularność i usługowy charakter infrastruktury SIG. W takim przypadku niezasadne wydaje się budowanie całości systemu od nowa, ponieważ możliwa jest modernizacja lub zastąpienie usług nieodpowiadających danym wymaganiom. </w:t>
      </w:r>
    </w:p>
    <w:p w:rsidR="00710E0C" w:rsidRDefault="00710E0C" w:rsidP="00710E0C">
      <w:pPr>
        <w:pStyle w:val="Nagwek2"/>
        <w:keepNext/>
        <w:keepLines/>
        <w:numPr>
          <w:ilvl w:val="1"/>
          <w:numId w:val="9"/>
        </w:numPr>
        <w:tabs>
          <w:tab w:val="left" w:pos="567"/>
          <w:tab w:val="num" w:pos="1220"/>
        </w:tabs>
        <w:suppressAutoHyphens/>
        <w:spacing w:before="240" w:after="240"/>
        <w:ind w:left="0" w:firstLine="0"/>
      </w:pPr>
      <w:bookmarkStart w:id="53" w:name="_Toc350513679"/>
      <w:bookmarkStart w:id="54" w:name="_Toc431811374"/>
      <w:r>
        <w:t>Systemy dziedzinowe</w:t>
      </w:r>
      <w:bookmarkEnd w:id="53"/>
      <w:bookmarkEnd w:id="54"/>
    </w:p>
    <w:p w:rsidR="00710E0C" w:rsidRPr="00710E0C" w:rsidRDefault="00710E0C" w:rsidP="00710E0C">
      <w:pPr>
        <w:rPr>
          <w:lang w:val="pl-PL" w:eastAsia="pl-PL"/>
        </w:rPr>
      </w:pPr>
      <w:r w:rsidRPr="00710E0C">
        <w:rPr>
          <w:lang w:val="pl-PL" w:eastAsia="pl-PL"/>
        </w:rPr>
        <w:t>Systemy dziedzinowe wchodzą w skład SIG, a więc podlegają ogólnym zasadom SIG.</w:t>
      </w:r>
    </w:p>
    <w:p w:rsidR="00710E0C" w:rsidRPr="00710E0C" w:rsidRDefault="00710E0C" w:rsidP="00005147">
      <w:pPr>
        <w:jc w:val="both"/>
        <w:rPr>
          <w:lang w:val="pl-PL" w:eastAsia="pl-PL"/>
        </w:rPr>
      </w:pPr>
      <w:r w:rsidRPr="00710E0C">
        <w:rPr>
          <w:lang w:val="pl-PL" w:eastAsia="pl-PL"/>
        </w:rPr>
        <w:lastRenderedPageBreak/>
        <w:t>Szczegółowe możliwości i tryb wykorzystania wspólnych zasobów SIG przedstawia dedykowany dokument pn. Przewodnik integratora G2.</w:t>
      </w:r>
    </w:p>
    <w:p w:rsidR="00710E0C" w:rsidRPr="00710E0C" w:rsidRDefault="00710E0C" w:rsidP="00005147">
      <w:pPr>
        <w:jc w:val="both"/>
        <w:rPr>
          <w:lang w:val="pl-PL" w:eastAsia="pl-PL"/>
        </w:rPr>
      </w:pPr>
      <w:r w:rsidRPr="00710E0C">
        <w:rPr>
          <w:lang w:val="pl-PL" w:eastAsia="pl-PL"/>
        </w:rPr>
        <w:t xml:space="preserve">Ogólny schemat komunikacji, na przykładzie usługi wymiany danych referencyjnych, przestawia </w:t>
      </w:r>
      <w:r w:rsidR="00874679">
        <w:rPr>
          <w:lang w:eastAsia="pl-PL"/>
        </w:rPr>
        <w:fldChar w:fldCharType="begin"/>
      </w:r>
      <w:r w:rsidRPr="00710E0C">
        <w:rPr>
          <w:lang w:val="pl-PL" w:eastAsia="pl-PL"/>
        </w:rPr>
        <w:instrText xml:space="preserve"> REF _Ref350515597 \h </w:instrText>
      </w:r>
      <w:r w:rsidR="00874679">
        <w:rPr>
          <w:lang w:eastAsia="pl-PL"/>
        </w:rPr>
      </w:r>
      <w:r w:rsidR="00874679">
        <w:rPr>
          <w:lang w:eastAsia="pl-PL"/>
        </w:rPr>
        <w:fldChar w:fldCharType="separate"/>
      </w:r>
      <w:r w:rsidRPr="00710E0C">
        <w:rPr>
          <w:lang w:val="pl-PL"/>
        </w:rPr>
        <w:t xml:space="preserve">Rysunek </w:t>
      </w:r>
      <w:r w:rsidRPr="00710E0C">
        <w:rPr>
          <w:noProof/>
          <w:lang w:val="pl-PL"/>
        </w:rPr>
        <w:t>5</w:t>
      </w:r>
      <w:r w:rsidR="00874679">
        <w:rPr>
          <w:lang w:eastAsia="pl-PL"/>
        </w:rPr>
        <w:fldChar w:fldCharType="end"/>
      </w:r>
      <w:r w:rsidRPr="00710E0C">
        <w:rPr>
          <w:lang w:val="pl-PL" w:eastAsia="pl-PL"/>
        </w:rPr>
        <w:t>.</w:t>
      </w:r>
    </w:p>
    <w:p w:rsidR="00710E0C" w:rsidRDefault="00746A3F" w:rsidP="00710E0C">
      <w:pPr>
        <w:keepNext/>
        <w:jc w:val="center"/>
      </w:pPr>
      <w:r>
        <w:rPr>
          <w:noProof/>
          <w:lang w:val="pl-PL" w:eastAsia="pl-PL"/>
        </w:rPr>
        <w:drawing>
          <wp:inline distT="0" distB="0" distL="0" distR="0" wp14:anchorId="01DECC09" wp14:editId="5B4622AD">
            <wp:extent cx="4921885" cy="3124835"/>
            <wp:effectExtent l="19050" t="0" r="0" b="0"/>
            <wp:docPr id="9" name="Obraz 5" descr="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braz2"/>
                    <pic:cNvPicPr>
                      <a:picLocks noChangeAspect="1" noChangeArrowheads="1"/>
                    </pic:cNvPicPr>
                  </pic:nvPicPr>
                  <pic:blipFill>
                    <a:blip r:embed="rId12" cstate="print"/>
                    <a:srcRect/>
                    <a:stretch>
                      <a:fillRect/>
                    </a:stretch>
                  </pic:blipFill>
                  <pic:spPr bwMode="auto">
                    <a:xfrm>
                      <a:off x="0" y="0"/>
                      <a:ext cx="4921885" cy="3124835"/>
                    </a:xfrm>
                    <a:prstGeom prst="rect">
                      <a:avLst/>
                    </a:prstGeom>
                    <a:noFill/>
                    <a:ln w="9525">
                      <a:noFill/>
                      <a:miter lim="800000"/>
                      <a:headEnd/>
                      <a:tailEnd/>
                    </a:ln>
                  </pic:spPr>
                </pic:pic>
              </a:graphicData>
            </a:graphic>
          </wp:inline>
        </w:drawing>
      </w:r>
    </w:p>
    <w:p w:rsidR="00710E0C" w:rsidRDefault="00710E0C" w:rsidP="00710E0C">
      <w:pPr>
        <w:pStyle w:val="Legenda"/>
      </w:pPr>
      <w:bookmarkStart w:id="55" w:name="_Ref350515597"/>
      <w:r>
        <w:t xml:space="preserve">Rysunek </w:t>
      </w:r>
      <w:fldSimple w:instr=" SEQ Rysunek \* ARABIC ">
        <w:r>
          <w:rPr>
            <w:noProof/>
          </w:rPr>
          <w:t>5</w:t>
        </w:r>
      </w:fldSimple>
      <w:bookmarkEnd w:id="55"/>
      <w:r>
        <w:t xml:space="preserve"> Komunikacja systemu dziedzinowego z rejestrem zewnętrznym</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rPr>
                <w:lang w:eastAsia="pl-PL"/>
              </w:rPr>
              <w:t>NF.AR.03</w:t>
            </w:r>
          </w:p>
        </w:tc>
        <w:tc>
          <w:tcPr>
            <w:tcW w:w="7529" w:type="dxa"/>
          </w:tcPr>
          <w:p w:rsidR="00710E0C" w:rsidRPr="007F4AAF" w:rsidRDefault="00710E0C" w:rsidP="00D804B4">
            <w:pPr>
              <w:jc w:val="both"/>
              <w:rPr>
                <w:lang w:val="pl-PL" w:eastAsia="pl-PL"/>
              </w:rPr>
            </w:pPr>
            <w:r w:rsidRPr="007F4AAF">
              <w:rPr>
                <w:lang w:val="pl-PL" w:eastAsia="pl-PL"/>
              </w:rPr>
              <w:t>Systemy tworzone w ramach SIG MUSZĄ wykorzystywać następujące usługi, udostępniane przez szynę usług SIG:</w:t>
            </w:r>
          </w:p>
          <w:p w:rsidR="00710E0C" w:rsidRPr="007F4AAF" w:rsidRDefault="00710E0C" w:rsidP="00710E0C">
            <w:pPr>
              <w:numPr>
                <w:ilvl w:val="0"/>
                <w:numId w:val="30"/>
              </w:numPr>
              <w:suppressAutoHyphens/>
              <w:spacing w:before="60" w:after="60"/>
              <w:jc w:val="both"/>
              <w:rPr>
                <w:lang w:eastAsia="pl-PL"/>
              </w:rPr>
            </w:pPr>
            <w:r w:rsidRPr="007F4AAF">
              <w:rPr>
                <w:lang w:eastAsia="pl-PL"/>
              </w:rPr>
              <w:t>Usługa bezpieczeństwa</w:t>
            </w:r>
          </w:p>
          <w:p w:rsidR="00710E0C" w:rsidRPr="007F4AAF" w:rsidRDefault="00710E0C" w:rsidP="00710E0C">
            <w:pPr>
              <w:numPr>
                <w:ilvl w:val="0"/>
                <w:numId w:val="30"/>
              </w:numPr>
              <w:suppressAutoHyphens/>
              <w:spacing w:before="60" w:after="60"/>
              <w:jc w:val="both"/>
              <w:rPr>
                <w:lang w:eastAsia="pl-PL"/>
              </w:rPr>
            </w:pPr>
            <w:r w:rsidRPr="007F4AAF">
              <w:rPr>
                <w:lang w:eastAsia="pl-PL"/>
              </w:rPr>
              <w:t>Rejestr usług</w:t>
            </w:r>
          </w:p>
          <w:p w:rsidR="00710E0C" w:rsidRPr="007F4AAF" w:rsidRDefault="00710E0C" w:rsidP="00710E0C">
            <w:pPr>
              <w:numPr>
                <w:ilvl w:val="0"/>
                <w:numId w:val="30"/>
              </w:numPr>
              <w:suppressAutoHyphens/>
              <w:spacing w:before="60" w:after="60"/>
              <w:jc w:val="both"/>
              <w:rPr>
                <w:lang w:eastAsia="pl-PL"/>
              </w:rPr>
            </w:pPr>
            <w:r w:rsidRPr="007F4AAF">
              <w:rPr>
                <w:lang w:eastAsia="pl-PL"/>
              </w:rPr>
              <w:t>Monitoring procesów</w:t>
            </w:r>
          </w:p>
          <w:p w:rsidR="00710E0C" w:rsidRPr="007F4AAF" w:rsidRDefault="00710E0C" w:rsidP="00D804B4">
            <w:pPr>
              <w:jc w:val="both"/>
              <w:rPr>
                <w:lang w:val="pl-PL" w:eastAsia="pl-PL"/>
              </w:rPr>
            </w:pPr>
            <w:r w:rsidRPr="007F4AAF">
              <w:rPr>
                <w:lang w:val="pl-PL" w:eastAsia="pl-PL"/>
              </w:rPr>
              <w:t>Jednocześnie systemy tworzone w ramach SIG NIE POWINNY duplikować wskazanych usług.</w:t>
            </w:r>
          </w:p>
        </w:tc>
      </w:tr>
    </w:tbl>
    <w:p w:rsidR="00710E0C" w:rsidRPr="00710E0C" w:rsidRDefault="00710E0C" w:rsidP="00D804B4">
      <w:pPr>
        <w:jc w:val="both"/>
        <w:rPr>
          <w:lang w:val="pl-PL" w:eastAsia="pl-PL"/>
        </w:rPr>
      </w:pPr>
      <w:r w:rsidRPr="00710E0C">
        <w:rPr>
          <w:lang w:val="pl-PL" w:eastAsia="pl-PL"/>
        </w:rPr>
        <w:t>Zastosowanie dla wszystkich systemów SIG wspólnej usługi bezpieczeństwa, korzystającej z jednolitego katalogu zawierającego tożsamości i uprawnienia umożliwia sprawne i pewne zarządzanie bezpieczeństwem SIG. Dodatkowo takie rozwiązanie umożliwia rozdzielenie definicji tożsamości i uprawnień od sposobów ich weryfikacji, zapewniając elastyczność SIG wyrażającą się łatwością dodawania nowych mechanizmów weryfikacji tożsamości.</w:t>
      </w:r>
    </w:p>
    <w:p w:rsidR="00710E0C" w:rsidRPr="00710E0C" w:rsidRDefault="00710E0C" w:rsidP="00D804B4">
      <w:pPr>
        <w:jc w:val="both"/>
        <w:rPr>
          <w:lang w:val="pl-PL" w:eastAsia="pl-PL"/>
        </w:rPr>
      </w:pPr>
      <w:r w:rsidRPr="00710E0C">
        <w:rPr>
          <w:lang w:val="pl-PL" w:eastAsia="pl-PL"/>
        </w:rPr>
        <w:t>Zastosowanie jednego rejestru usług dla SIG zapewnia jeden punkt wyszukiwania usług SIG oraz jednolity sposób dostępu do wszystkich usług. Rozwiązanie to umożliwia także sprawne zarządzanie usługami SIG.</w:t>
      </w:r>
    </w:p>
    <w:p w:rsidR="00710E0C" w:rsidRPr="00710E0C" w:rsidRDefault="00710E0C" w:rsidP="00D804B4">
      <w:pPr>
        <w:jc w:val="both"/>
        <w:rPr>
          <w:lang w:val="pl-PL" w:eastAsia="pl-PL"/>
        </w:rPr>
      </w:pPr>
      <w:r w:rsidRPr="00710E0C">
        <w:rPr>
          <w:lang w:val="pl-PL" w:eastAsia="pl-PL"/>
        </w:rPr>
        <w:t xml:space="preserve">Usługa monitoringu procesów SIG umożliwia gromadzenie danych o realizacji procesów w ramach szyny usług SIG. Wszystkie usługi dostępne w rejestrze usług SIG powinny podlegać monitorowaniu w </w:t>
      </w:r>
      <w:r w:rsidRPr="00710E0C">
        <w:rPr>
          <w:lang w:val="pl-PL" w:eastAsia="pl-PL"/>
        </w:rPr>
        <w:lastRenderedPageBreak/>
        <w:t>zakresie wykorzystania szyny usług SIG. Monitorowanie nie obejmuje elementów procesów realizowanych wewnątrz systemów dostarczających usługi dla SIG.</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D804B4">
            <w:pPr>
              <w:jc w:val="both"/>
              <w:rPr>
                <w:lang w:eastAsia="pl-PL"/>
              </w:rPr>
            </w:pPr>
            <w:r w:rsidRPr="007F4AAF">
              <w:rPr>
                <w:lang w:eastAsia="pl-PL"/>
              </w:rPr>
              <w:t>NF.AR.24</w:t>
            </w:r>
          </w:p>
        </w:tc>
        <w:tc>
          <w:tcPr>
            <w:tcW w:w="7529" w:type="dxa"/>
          </w:tcPr>
          <w:p w:rsidR="00710E0C" w:rsidRPr="007F4AAF" w:rsidRDefault="00710E0C" w:rsidP="00D804B4">
            <w:pPr>
              <w:jc w:val="both"/>
              <w:rPr>
                <w:lang w:val="pl-PL" w:eastAsia="pl-PL"/>
              </w:rPr>
            </w:pPr>
            <w:r w:rsidRPr="007F4AAF">
              <w:rPr>
                <w:lang w:val="pl-PL" w:eastAsia="pl-PL"/>
              </w:rPr>
              <w:t>Systemy dziedzinowe NIE MOGĄ przekazywać dużych ilości danych przez szynę usług SIG</w:t>
            </w:r>
          </w:p>
        </w:tc>
      </w:tr>
    </w:tbl>
    <w:p w:rsidR="00710E0C" w:rsidRPr="00710E0C" w:rsidRDefault="00710E0C" w:rsidP="00D804B4">
      <w:pPr>
        <w:jc w:val="both"/>
        <w:rPr>
          <w:lang w:val="pl-PL" w:eastAsia="pl-PL"/>
        </w:rPr>
      </w:pPr>
      <w:r w:rsidRPr="00710E0C">
        <w:rPr>
          <w:lang w:val="pl-PL" w:eastAsia="pl-PL"/>
        </w:rPr>
        <w:t>Nadrzędnym celem szyny usług SIG jest zapewnienie i kontrola dostępu do usług SIG oraz ich monitorowanie. Szyna usług SIG nie może być wykorzystywana jako komponent do transmisji danych, ponieważ wpłynęłoby by to negatywnie na jakość realizacji tego celu. Szyna usług SIG powinna być wykorzystana do zestawienia połączenia w mającego na celu np. aktualizację systemu dziedzinowego, jednak sama transmisja danych musi odbyć się bez udziału szyny. Na przykład aktualizacja PRG z powiatu powinna wykorzystać usługę bezpieczeństwa szyny usług SIG, ale dane powinny być przesyłane bezpośrednio pomiędzy systemem informatycznym powiatu, a systemem dziedzinowym PRG.</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rPr>
                <w:lang w:eastAsia="pl-PL"/>
              </w:rPr>
              <w:t>NF.AR.25</w:t>
            </w:r>
          </w:p>
        </w:tc>
        <w:tc>
          <w:tcPr>
            <w:tcW w:w="7529" w:type="dxa"/>
          </w:tcPr>
          <w:p w:rsidR="00710E0C" w:rsidRPr="007F4AAF" w:rsidRDefault="00710E0C" w:rsidP="006D7592">
            <w:pPr>
              <w:rPr>
                <w:lang w:val="pl-PL" w:eastAsia="pl-PL"/>
              </w:rPr>
            </w:pPr>
            <w:r w:rsidRPr="007F4AAF">
              <w:rPr>
                <w:lang w:val="pl-PL" w:eastAsia="pl-PL"/>
              </w:rPr>
              <w:t>Każda komunikacja do systemów dziedzinowych SIG spoza danego systemu dziedzinowego POWINNA być ustanawiana przez szynę usług G</w:t>
            </w:r>
            <w:r w:rsidR="007F4AAF" w:rsidRPr="007F4AAF">
              <w:rPr>
                <w:lang w:val="pl-PL" w:eastAsia="pl-PL"/>
              </w:rPr>
              <w:t>eoportal</w:t>
            </w:r>
          </w:p>
        </w:tc>
      </w:tr>
      <w:tr w:rsidR="00710E0C" w:rsidRPr="0028284C" w:rsidTr="006D7592">
        <w:tc>
          <w:tcPr>
            <w:tcW w:w="1115" w:type="dxa"/>
          </w:tcPr>
          <w:p w:rsidR="00710E0C" w:rsidRPr="007F4AAF" w:rsidRDefault="00710E0C" w:rsidP="006D7592">
            <w:pPr>
              <w:rPr>
                <w:lang w:eastAsia="pl-PL"/>
              </w:rPr>
            </w:pPr>
            <w:r w:rsidRPr="007F4AAF">
              <w:rPr>
                <w:lang w:eastAsia="pl-PL"/>
              </w:rPr>
              <w:t>NF.AR.26</w:t>
            </w:r>
          </w:p>
        </w:tc>
        <w:tc>
          <w:tcPr>
            <w:tcW w:w="7529" w:type="dxa"/>
          </w:tcPr>
          <w:p w:rsidR="00710E0C" w:rsidRPr="007F4AAF" w:rsidRDefault="00710E0C" w:rsidP="006D7592">
            <w:pPr>
              <w:rPr>
                <w:lang w:val="pl-PL" w:eastAsia="pl-PL"/>
              </w:rPr>
            </w:pPr>
            <w:r w:rsidRPr="007F4AAF">
              <w:rPr>
                <w:lang w:val="pl-PL" w:eastAsia="pl-PL"/>
              </w:rPr>
              <w:t>Systemy dziedzinowe POWINNY wykorzystywać usługi infrastrukturalne Szyny Usług SIG</w:t>
            </w:r>
          </w:p>
        </w:tc>
      </w:tr>
      <w:tr w:rsidR="00710E0C" w:rsidRPr="0028284C" w:rsidTr="006D7592">
        <w:tc>
          <w:tcPr>
            <w:tcW w:w="1115" w:type="dxa"/>
          </w:tcPr>
          <w:p w:rsidR="00710E0C" w:rsidRPr="007F4AAF" w:rsidRDefault="00710E0C" w:rsidP="006D7592">
            <w:pPr>
              <w:rPr>
                <w:lang w:eastAsia="pl-PL"/>
              </w:rPr>
            </w:pPr>
            <w:r w:rsidRPr="007F4AAF">
              <w:rPr>
                <w:lang w:eastAsia="pl-PL"/>
              </w:rPr>
              <w:t>NF.AR.27</w:t>
            </w:r>
          </w:p>
        </w:tc>
        <w:tc>
          <w:tcPr>
            <w:tcW w:w="7529" w:type="dxa"/>
          </w:tcPr>
          <w:p w:rsidR="00710E0C" w:rsidRPr="007F4AAF" w:rsidRDefault="00710E0C" w:rsidP="006D7592">
            <w:pPr>
              <w:rPr>
                <w:lang w:val="pl-PL" w:eastAsia="pl-PL"/>
              </w:rPr>
            </w:pPr>
            <w:r w:rsidRPr="007F4AAF">
              <w:rPr>
                <w:lang w:val="pl-PL"/>
              </w:rPr>
              <w:t>System Geoportal MUSI umożliwiać systemom dziedzinowym udostępnianie danych dziedzinowych przy pomocy interfejsów API w postaci usług sieciowych</w:t>
            </w:r>
          </w:p>
        </w:tc>
      </w:tr>
    </w:tbl>
    <w:p w:rsidR="00710E0C" w:rsidRPr="00710E0C" w:rsidRDefault="00710E0C" w:rsidP="00710E0C">
      <w:pPr>
        <w:rPr>
          <w:lang w:val="pl-PL"/>
        </w:rPr>
      </w:pP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53"/>
        <w:gridCol w:w="7529"/>
      </w:tblGrid>
      <w:tr w:rsidR="00710E0C" w:rsidRPr="0028284C" w:rsidTr="006D7592">
        <w:tc>
          <w:tcPr>
            <w:tcW w:w="1153" w:type="dxa"/>
          </w:tcPr>
          <w:p w:rsidR="00710E0C" w:rsidRPr="007F4AAF" w:rsidRDefault="00710E0C" w:rsidP="006D7592">
            <w:pPr>
              <w:rPr>
                <w:lang w:eastAsia="pl-PL"/>
              </w:rPr>
            </w:pPr>
            <w:r w:rsidRPr="007F4AAF">
              <w:t>NF.DO</w:t>
            </w:r>
            <w:r w:rsidRPr="007F4AAF">
              <w:rPr>
                <w:lang w:eastAsia="pl-PL"/>
              </w:rPr>
              <w:t>.02</w:t>
            </w:r>
          </w:p>
        </w:tc>
        <w:tc>
          <w:tcPr>
            <w:tcW w:w="7529" w:type="dxa"/>
          </w:tcPr>
          <w:p w:rsidR="00710E0C" w:rsidRPr="007F4AAF" w:rsidRDefault="00710E0C" w:rsidP="006D7592">
            <w:pPr>
              <w:rPr>
                <w:lang w:val="pl-PL" w:eastAsia="pl-PL"/>
              </w:rPr>
            </w:pPr>
            <w:r w:rsidRPr="007F4AAF">
              <w:rPr>
                <w:lang w:val="pl-PL" w:eastAsia="pl-PL"/>
              </w:rPr>
              <w:t>Aktualizacja magazynów danych G</w:t>
            </w:r>
            <w:r w:rsidR="00FF7284">
              <w:rPr>
                <w:lang w:val="pl-PL" w:eastAsia="pl-PL"/>
              </w:rPr>
              <w:t>eoportal</w:t>
            </w:r>
            <w:r w:rsidRPr="007F4AAF">
              <w:rPr>
                <w:lang w:val="pl-PL" w:eastAsia="pl-PL"/>
              </w:rPr>
              <w:t xml:space="preserve"> przez system dziedzinowy MUSI odbywać się w czasie poza szczytowym obciążeniem systemu G</w:t>
            </w:r>
            <w:r w:rsidR="007F4AAF" w:rsidRPr="007F4AAF">
              <w:rPr>
                <w:lang w:val="pl-PL" w:eastAsia="pl-PL"/>
              </w:rPr>
              <w:t>eoportal</w:t>
            </w:r>
          </w:p>
        </w:tc>
      </w:tr>
    </w:tbl>
    <w:p w:rsidR="00710E0C" w:rsidRPr="00710E0C" w:rsidRDefault="00710E0C" w:rsidP="00710E0C">
      <w:pPr>
        <w:rPr>
          <w:lang w:val="pl-PL" w:eastAsia="pl-PL"/>
        </w:rPr>
      </w:pPr>
      <w:r w:rsidRPr="00710E0C">
        <w:rPr>
          <w:lang w:val="pl-PL" w:eastAsia="pl-PL"/>
        </w:rPr>
        <w:t>Na podstawie analizy wolumenu danych przesyłanych przez szynę usług systemu Geoportal  w celu realizacji usług biznesowych zidentyfikowano konieczność przesyłania znacznych wolumenów danych na potrzeby aktualizacji magazynów danych systemu Geoportal  przez systemy dziedzinowe. W celu ograniczenia wolumenu danych przesyłanych  przez szynę usług w godzinach szczytowego obciążenia sytemu, wymagane jest aby realizacja tych usług odbywała się poza tymi godzinami.</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t>NF.BE</w:t>
            </w:r>
            <w:r w:rsidRPr="007F4AAF">
              <w:rPr>
                <w:lang w:eastAsia="pl-PL"/>
              </w:rPr>
              <w:t>.01</w:t>
            </w:r>
          </w:p>
        </w:tc>
        <w:tc>
          <w:tcPr>
            <w:tcW w:w="7529" w:type="dxa"/>
          </w:tcPr>
          <w:p w:rsidR="00710E0C" w:rsidRPr="007F4AAF" w:rsidRDefault="00710E0C" w:rsidP="006D7592">
            <w:pPr>
              <w:rPr>
                <w:lang w:val="pl-PL" w:eastAsia="pl-PL"/>
              </w:rPr>
            </w:pPr>
            <w:r w:rsidRPr="007F4AAF">
              <w:rPr>
                <w:lang w:val="pl-PL" w:eastAsia="pl-PL"/>
              </w:rPr>
              <w:t>Każdy klient SIG MUSI być uwierzytelniany i autoryzowany przez usługę bezpieczeństwa SIG</w:t>
            </w:r>
          </w:p>
        </w:tc>
      </w:tr>
    </w:tbl>
    <w:p w:rsidR="00710E0C" w:rsidRPr="00710E0C" w:rsidRDefault="00710E0C" w:rsidP="00710E0C">
      <w:pPr>
        <w:rPr>
          <w:lang w:val="pl-PL" w:eastAsia="pl-PL"/>
        </w:rPr>
      </w:pPr>
      <w:r w:rsidRPr="00710E0C">
        <w:rPr>
          <w:lang w:val="pl-PL" w:eastAsia="pl-PL"/>
        </w:rPr>
        <w:t>Realizacja tego wymagania usprawni realizację polityki bezpieczeństwa przyjętej w GUGiK i CODGiK oraz zapewni możliwość kontroli jej stosowania w odniesieniu do systemów informatycznych GUGiK.</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t>NF.BE</w:t>
            </w:r>
            <w:r w:rsidRPr="007F4AAF">
              <w:rPr>
                <w:lang w:eastAsia="pl-PL"/>
              </w:rPr>
              <w:t>.02</w:t>
            </w:r>
          </w:p>
        </w:tc>
        <w:tc>
          <w:tcPr>
            <w:tcW w:w="7529" w:type="dxa"/>
          </w:tcPr>
          <w:p w:rsidR="00710E0C" w:rsidRPr="007F4AAF" w:rsidRDefault="00710E0C" w:rsidP="006D7592">
            <w:pPr>
              <w:rPr>
                <w:lang w:val="pl-PL" w:eastAsia="pl-PL"/>
              </w:rPr>
            </w:pPr>
            <w:r w:rsidRPr="007F4AAF">
              <w:rPr>
                <w:lang w:val="pl-PL" w:eastAsia="pl-PL"/>
              </w:rPr>
              <w:t xml:space="preserve">Każdy system dziedzinowy GUGiK oraz każdy system kliencki wobec SIG MUSI przekazać administratorowi usługi bezpieczeństwa SIG, dane zgodnie z technologią wykonania usługi bezpieczeństwa SIG umożliwiające poprawne poświadczenie tożsamości użytkowników systemu dziedzinowego (uwierzytelnianie) oraz poświadczenie praw przysługujących użytkownikowi (autoryzacja). </w:t>
            </w:r>
          </w:p>
          <w:p w:rsidR="00710E0C" w:rsidRPr="007F4AAF" w:rsidRDefault="00710E0C" w:rsidP="006D7592">
            <w:pPr>
              <w:rPr>
                <w:lang w:val="pl-PL" w:eastAsia="pl-PL"/>
              </w:rPr>
            </w:pPr>
            <w:r w:rsidRPr="007F4AAF">
              <w:rPr>
                <w:lang w:val="pl-PL" w:eastAsia="pl-PL"/>
              </w:rPr>
              <w:lastRenderedPageBreak/>
              <w:t>Administrator na podstawie tych danych POWINIEN zarejestrować dane użytkownika w usłudze bezpieczeństwa SIG. Po weryfikacji przekazanych tożsamości i uprawnień, administrator usługi bezpieczeństwa SIG dokona przekonfigurowania usługi bezpieczeństwa.</w:t>
            </w:r>
          </w:p>
        </w:tc>
      </w:tr>
      <w:tr w:rsidR="00710E0C" w:rsidRPr="0028284C" w:rsidTr="006D7592">
        <w:tc>
          <w:tcPr>
            <w:tcW w:w="1115" w:type="dxa"/>
          </w:tcPr>
          <w:p w:rsidR="00710E0C" w:rsidRPr="007F4AAF" w:rsidRDefault="00710E0C" w:rsidP="006D7592">
            <w:pPr>
              <w:rPr>
                <w:lang w:eastAsia="pl-PL"/>
              </w:rPr>
            </w:pPr>
            <w:r w:rsidRPr="007F4AAF">
              <w:lastRenderedPageBreak/>
              <w:t>NF.BE</w:t>
            </w:r>
            <w:r w:rsidRPr="007F4AAF">
              <w:rPr>
                <w:lang w:eastAsia="pl-PL"/>
              </w:rPr>
              <w:t>.03</w:t>
            </w:r>
          </w:p>
        </w:tc>
        <w:tc>
          <w:tcPr>
            <w:tcW w:w="7529" w:type="dxa"/>
          </w:tcPr>
          <w:p w:rsidR="00710E0C" w:rsidRPr="007F4AAF" w:rsidRDefault="00710E0C" w:rsidP="006D7592">
            <w:pPr>
              <w:rPr>
                <w:lang w:val="pl-PL" w:eastAsia="pl-PL"/>
              </w:rPr>
            </w:pPr>
            <w:r w:rsidRPr="007F4AAF">
              <w:rPr>
                <w:lang w:val="pl-PL" w:eastAsia="pl-PL"/>
              </w:rPr>
              <w:t>Moduły bezpieczeństwa systemów dziedzinowych MUSZĄ być dostosowane do korzystania z usługi bezpieczeństwa SIG</w:t>
            </w:r>
          </w:p>
        </w:tc>
      </w:tr>
    </w:tbl>
    <w:p w:rsidR="00710E0C" w:rsidRPr="00710E0C" w:rsidRDefault="00710E0C" w:rsidP="00710E0C">
      <w:pPr>
        <w:rPr>
          <w:lang w:val="pl-PL" w:eastAsia="pl-PL"/>
        </w:rPr>
      </w:pPr>
      <w:r w:rsidRPr="00710E0C">
        <w:rPr>
          <w:lang w:val="pl-PL" w:eastAsia="pl-PL"/>
        </w:rPr>
        <w:t>Dopuszcza się stosowania własnych modułów bezpieczeństwa pod warunkiem zachowania zgodności z usługą bezpieczeństwa SIG.</w:t>
      </w:r>
    </w:p>
    <w:p w:rsidR="00710E0C" w:rsidRDefault="00710E0C" w:rsidP="00710E0C">
      <w:pPr>
        <w:pStyle w:val="Nagwek2"/>
        <w:keepNext/>
        <w:keepLines/>
        <w:numPr>
          <w:ilvl w:val="1"/>
          <w:numId w:val="9"/>
        </w:numPr>
        <w:tabs>
          <w:tab w:val="left" w:pos="567"/>
          <w:tab w:val="num" w:pos="1220"/>
        </w:tabs>
        <w:suppressAutoHyphens/>
        <w:spacing w:before="240" w:after="240"/>
        <w:ind w:left="0" w:firstLine="0"/>
      </w:pPr>
      <w:bookmarkStart w:id="56" w:name="_Toc350513680"/>
      <w:bookmarkStart w:id="57" w:name="_Toc431811375"/>
      <w:r>
        <w:t>ePUAP</w:t>
      </w:r>
      <w:bookmarkEnd w:id="56"/>
      <w:bookmarkEnd w:id="57"/>
    </w:p>
    <w:p w:rsidR="00710E0C" w:rsidRPr="00710E0C" w:rsidRDefault="00710E0C" w:rsidP="00710E0C">
      <w:pPr>
        <w:rPr>
          <w:lang w:val="pl-PL" w:eastAsia="pl-PL"/>
        </w:rPr>
      </w:pPr>
      <w:r w:rsidRPr="00710E0C">
        <w:rPr>
          <w:lang w:val="pl-PL" w:eastAsia="pl-PL"/>
        </w:rPr>
        <w:t>System Geoportal udostępnia możliwości odbierania oraz wysyłania dokumentów elektronicznych z platformy ePUAP.</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28284C" w:rsidTr="006D7592">
        <w:tc>
          <w:tcPr>
            <w:tcW w:w="1115" w:type="dxa"/>
          </w:tcPr>
          <w:p w:rsidR="00710E0C" w:rsidRPr="007F4AAF" w:rsidRDefault="00710E0C" w:rsidP="006D7592">
            <w:pPr>
              <w:rPr>
                <w:lang w:eastAsia="pl-PL"/>
              </w:rPr>
            </w:pPr>
            <w:r w:rsidRPr="007F4AAF">
              <w:rPr>
                <w:lang w:eastAsia="pl-PL"/>
              </w:rPr>
              <w:t>NF.AR.29</w:t>
            </w:r>
          </w:p>
        </w:tc>
        <w:tc>
          <w:tcPr>
            <w:tcW w:w="7529" w:type="dxa"/>
          </w:tcPr>
          <w:p w:rsidR="00710E0C" w:rsidRPr="007F4AAF" w:rsidRDefault="00710E0C" w:rsidP="006D7592">
            <w:pPr>
              <w:rPr>
                <w:lang w:val="pl-PL" w:eastAsia="pl-PL"/>
              </w:rPr>
            </w:pPr>
            <w:r w:rsidRPr="007F4AAF">
              <w:rPr>
                <w:lang w:val="pl-PL"/>
              </w:rPr>
              <w:t>System Geoportal umożliwia przekazywanie dokumentów elektronicznych z platformy ePUAP do GGK oraz od GGK do ich odbiorców z wykorzystaniem platformy ePUAP</w:t>
            </w:r>
          </w:p>
        </w:tc>
      </w:tr>
      <w:tr w:rsidR="00710E0C" w:rsidRPr="0028284C" w:rsidTr="006D7592">
        <w:tc>
          <w:tcPr>
            <w:tcW w:w="1115" w:type="dxa"/>
          </w:tcPr>
          <w:p w:rsidR="00710E0C" w:rsidRPr="007F4AAF" w:rsidRDefault="00710E0C" w:rsidP="006D7592">
            <w:pPr>
              <w:rPr>
                <w:lang w:eastAsia="pl-PL"/>
              </w:rPr>
            </w:pPr>
            <w:r w:rsidRPr="007F4AAF">
              <w:rPr>
                <w:lang w:eastAsia="pl-PL"/>
              </w:rPr>
              <w:t>NF.AR.30</w:t>
            </w:r>
          </w:p>
        </w:tc>
        <w:tc>
          <w:tcPr>
            <w:tcW w:w="7529" w:type="dxa"/>
          </w:tcPr>
          <w:p w:rsidR="00710E0C" w:rsidRPr="007F4AAF" w:rsidRDefault="00710E0C" w:rsidP="006D7592">
            <w:pPr>
              <w:rPr>
                <w:lang w:val="pl-PL"/>
              </w:rPr>
            </w:pPr>
            <w:r w:rsidRPr="007F4AAF">
              <w:rPr>
                <w:lang w:val="pl-PL"/>
              </w:rPr>
              <w:t>System Geoportal umożliwia składowanie dokumentów przekazywanych do GGK drogą elektroniczną (w tym przez ePUAP) oraz dokumentów elektronicznych wysyłanych przez GGK.</w:t>
            </w:r>
          </w:p>
        </w:tc>
      </w:tr>
      <w:tr w:rsidR="00710E0C" w:rsidRPr="0028284C" w:rsidTr="006D7592">
        <w:tc>
          <w:tcPr>
            <w:tcW w:w="1115" w:type="dxa"/>
          </w:tcPr>
          <w:p w:rsidR="00710E0C" w:rsidRPr="007F4AAF" w:rsidRDefault="00710E0C" w:rsidP="006D7592">
            <w:pPr>
              <w:rPr>
                <w:lang w:eastAsia="pl-PL"/>
              </w:rPr>
            </w:pPr>
            <w:r w:rsidRPr="007F4AAF">
              <w:rPr>
                <w:lang w:eastAsia="pl-PL"/>
              </w:rPr>
              <w:t>NF.AR.31</w:t>
            </w:r>
          </w:p>
        </w:tc>
        <w:tc>
          <w:tcPr>
            <w:tcW w:w="7529" w:type="dxa"/>
          </w:tcPr>
          <w:p w:rsidR="00710E0C" w:rsidRPr="007F4AAF" w:rsidRDefault="00710E0C" w:rsidP="006D7592">
            <w:pPr>
              <w:rPr>
                <w:lang w:val="pl-PL" w:eastAsia="pl-PL"/>
              </w:rPr>
            </w:pPr>
            <w:r w:rsidRPr="007F4AAF">
              <w:rPr>
                <w:lang w:val="pl-PL"/>
              </w:rPr>
              <w:t>System Geoportal umożliwia wystawianie urzędowego poświadczenia odbioru</w:t>
            </w:r>
          </w:p>
        </w:tc>
      </w:tr>
      <w:tr w:rsidR="00710E0C" w:rsidRPr="0028284C" w:rsidTr="006D7592">
        <w:tc>
          <w:tcPr>
            <w:tcW w:w="1115" w:type="dxa"/>
          </w:tcPr>
          <w:p w:rsidR="00710E0C" w:rsidRPr="007F4AAF" w:rsidRDefault="00710E0C" w:rsidP="006D7592">
            <w:pPr>
              <w:rPr>
                <w:lang w:eastAsia="pl-PL"/>
              </w:rPr>
            </w:pPr>
            <w:r w:rsidRPr="007F4AAF">
              <w:rPr>
                <w:lang w:eastAsia="pl-PL"/>
              </w:rPr>
              <w:t>NF.AR.32</w:t>
            </w:r>
          </w:p>
        </w:tc>
        <w:tc>
          <w:tcPr>
            <w:tcW w:w="7529" w:type="dxa"/>
          </w:tcPr>
          <w:p w:rsidR="00710E0C" w:rsidRPr="007F4AAF" w:rsidRDefault="00710E0C" w:rsidP="006D7592">
            <w:pPr>
              <w:rPr>
                <w:lang w:val="pl-PL" w:eastAsia="pl-PL"/>
              </w:rPr>
            </w:pPr>
            <w:r w:rsidRPr="007F4AAF">
              <w:rPr>
                <w:lang w:val="pl-PL"/>
              </w:rPr>
              <w:t>System Geoportal umożliwia wykorzystanie (tj. podpisywanie oraz weryfikacja) metod poświadczania tożsamości wdrożonych na platformie ePUAP</w:t>
            </w:r>
          </w:p>
        </w:tc>
      </w:tr>
    </w:tbl>
    <w:p w:rsidR="00710E0C" w:rsidRDefault="00710E0C" w:rsidP="00710E0C">
      <w:pPr>
        <w:pStyle w:val="Nagwek1"/>
        <w:keepLines w:val="0"/>
        <w:pageBreakBefore/>
        <w:tabs>
          <w:tab w:val="num" w:pos="224"/>
          <w:tab w:val="left" w:pos="567"/>
        </w:tabs>
        <w:suppressAutoHyphens/>
        <w:spacing w:before="240" w:after="320"/>
        <w:ind w:left="227" w:hanging="227"/>
      </w:pPr>
      <w:bookmarkStart w:id="58" w:name="_Toc350513681"/>
      <w:bookmarkStart w:id="59" w:name="_Toc431811376"/>
      <w:r>
        <w:lastRenderedPageBreak/>
        <w:t>Architektura danych</w:t>
      </w:r>
      <w:bookmarkEnd w:id="58"/>
      <w:bookmarkEnd w:id="59"/>
    </w:p>
    <w:p w:rsidR="0040094C" w:rsidRPr="00710E0C" w:rsidRDefault="00710E0C" w:rsidP="0040094C">
      <w:pPr>
        <w:jc w:val="both"/>
        <w:rPr>
          <w:lang w:val="pl-PL" w:eastAsia="pl-PL"/>
        </w:rPr>
      </w:pPr>
      <w:r w:rsidRPr="00710E0C">
        <w:rPr>
          <w:lang w:val="pl-PL" w:eastAsia="pl-PL"/>
        </w:rPr>
        <w:t>Wyróżnia się 2 podstawowe źródła danych: dane stanowiące Państwowy Zasób Geodezyjny i Kartograficzny (PZGiK) oraz dane źródłowe pochodzące spoza Służby Geodezyjnej i Kartograficznej. W ramach SIG powstają 3 podstawowe magazyny danych: dane INSPIRE (stanowiący de facto część PZGiK), dane krajowe i branżowe (w tym wydzielona, odrębna część PZGiK) oraz dane zgromadzone na potrzeby Uniwersalnego Modułu Mapowego (UMM). Wszystkie te 3 magazyny danych są wydzielone na potrzeby udostępniania danych przy pomocy geoportali.</w:t>
      </w:r>
    </w:p>
    <w:p w:rsidR="00710E0C" w:rsidRDefault="0040094C" w:rsidP="0040094C">
      <w:pPr>
        <w:jc w:val="both"/>
      </w:pPr>
      <w:r w:rsidRPr="0040094C">
        <w:rPr>
          <w:noProof/>
          <w:lang w:val="pl-PL" w:eastAsia="pl-PL"/>
        </w:rPr>
        <w:t xml:space="preserve"> </w:t>
      </w:r>
      <w:r w:rsidR="00746A3F">
        <w:rPr>
          <w:noProof/>
          <w:lang w:val="pl-PL" w:eastAsia="pl-PL"/>
        </w:rPr>
        <w:drawing>
          <wp:inline distT="0" distB="0" distL="0" distR="0" wp14:anchorId="2CAD238A" wp14:editId="093923B4">
            <wp:extent cx="5756910" cy="3100705"/>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756910" cy="3100705"/>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fldSimple w:instr=" SEQ Rysunek \* ARABIC ">
        <w:r>
          <w:rPr>
            <w:noProof/>
          </w:rPr>
          <w:t>6</w:t>
        </w:r>
      </w:fldSimple>
      <w:r>
        <w:t xml:space="preserve"> Udostępnianie danych SIG. Źródło: Księga standardów SIG.</w:t>
      </w:r>
    </w:p>
    <w:p w:rsidR="00710E0C" w:rsidRPr="0000517B" w:rsidRDefault="00710E0C" w:rsidP="0040094C">
      <w:pPr>
        <w:jc w:val="both"/>
        <w:rPr>
          <w:lang w:val="pl-PL" w:eastAsia="pl-PL"/>
        </w:rPr>
      </w:pPr>
      <w:r w:rsidRPr="00710E0C">
        <w:rPr>
          <w:lang w:val="pl-PL" w:eastAsia="pl-PL"/>
        </w:rPr>
        <w:t xml:space="preserve">Dane są udostępniane przez usługi danych przestrzennych. Usługi danych przestrzennych są zorganizowane w ramach brokerów. </w:t>
      </w:r>
      <w:r w:rsidRPr="0000517B">
        <w:rPr>
          <w:lang w:val="pl-PL" w:eastAsia="pl-PL"/>
        </w:rPr>
        <w:t>Portale prezentują dla użytkowników usługi z brokerów.</w:t>
      </w:r>
    </w:p>
    <w:p w:rsidR="004044D7" w:rsidRPr="0000517B" w:rsidRDefault="004044D7" w:rsidP="0040094C">
      <w:pPr>
        <w:jc w:val="both"/>
        <w:rPr>
          <w:lang w:val="pl-PL" w:eastAsia="pl-PL"/>
        </w:rPr>
      </w:pPr>
      <w:r w:rsidRPr="0000517B">
        <w:rPr>
          <w:b/>
          <w:lang w:val="pl-PL" w:eastAsia="pl-PL"/>
        </w:rPr>
        <w:t>Uwaga</w:t>
      </w:r>
      <w:r w:rsidRPr="0000517B">
        <w:rPr>
          <w:lang w:val="pl-PL" w:eastAsia="pl-PL"/>
        </w:rPr>
        <w:t>: Architektura danych może ulec zm</w:t>
      </w:r>
      <w:r w:rsidR="00825784">
        <w:rPr>
          <w:lang w:val="pl-PL" w:eastAsia="pl-PL"/>
        </w:rPr>
        <w:t>i</w:t>
      </w:r>
      <w:r w:rsidRPr="0000517B">
        <w:rPr>
          <w:lang w:val="pl-PL" w:eastAsia="pl-PL"/>
        </w:rPr>
        <w:t xml:space="preserve">anie z uwagi na planowane postępowanie w zakresie dostawy </w:t>
      </w:r>
      <w:r w:rsidR="00825784" w:rsidRPr="00825784">
        <w:rPr>
          <w:lang w:val="pl-PL" w:eastAsia="pl-PL"/>
        </w:rPr>
        <w:t>infrastruktury</w:t>
      </w:r>
      <w:r w:rsidRPr="0000517B">
        <w:rPr>
          <w:lang w:val="pl-PL" w:eastAsia="pl-PL"/>
        </w:rPr>
        <w:t>.</w:t>
      </w:r>
    </w:p>
    <w:p w:rsidR="00710E0C" w:rsidRDefault="00710E0C" w:rsidP="00710E0C">
      <w:pPr>
        <w:pStyle w:val="Nagwek1"/>
        <w:keepLines w:val="0"/>
        <w:pageBreakBefore/>
        <w:tabs>
          <w:tab w:val="num" w:pos="224"/>
          <w:tab w:val="left" w:pos="567"/>
        </w:tabs>
        <w:suppressAutoHyphens/>
        <w:spacing w:before="240" w:after="320"/>
        <w:ind w:left="227" w:hanging="227"/>
      </w:pPr>
      <w:bookmarkStart w:id="60" w:name="_Toc350513682"/>
      <w:bookmarkStart w:id="61" w:name="_Toc431811377"/>
      <w:r>
        <w:lastRenderedPageBreak/>
        <w:t>Architektura technologiczna</w:t>
      </w:r>
      <w:bookmarkEnd w:id="60"/>
      <w:bookmarkEnd w:id="61"/>
      <w:r>
        <w:t xml:space="preserve"> </w:t>
      </w:r>
    </w:p>
    <w:p w:rsidR="00710E0C" w:rsidRPr="00710E0C" w:rsidRDefault="00710E0C" w:rsidP="00710E0C">
      <w:pPr>
        <w:rPr>
          <w:lang w:val="pl-PL"/>
        </w:rPr>
      </w:pPr>
      <w:r w:rsidRPr="00710E0C">
        <w:rPr>
          <w:lang w:val="pl-PL"/>
        </w:rPr>
        <w:t>Systemy informatyczne tworzone w ramach SIG wymagają wydajnej infrastruktury technologicznej obejmującej oprogramowanie standardowe, zasoby sprzętowe, sieciowe oraz fizyczne.</w:t>
      </w:r>
    </w:p>
    <w:p w:rsidR="00710E0C" w:rsidRPr="00710E0C" w:rsidRDefault="00710E0C" w:rsidP="00710E0C">
      <w:pPr>
        <w:spacing w:before="120" w:after="120"/>
        <w:rPr>
          <w:b/>
          <w:szCs w:val="24"/>
          <w:lang w:val="pl-PL"/>
        </w:rPr>
      </w:pPr>
      <w:r w:rsidRPr="00710E0C">
        <w:rPr>
          <w:szCs w:val="24"/>
          <w:lang w:val="pl-PL"/>
        </w:rPr>
        <w:t>Potrzeby infrastrukturalne SIG zostały policzone i opisane w dedykowanej metodzie wymiarowania usług SIG</w:t>
      </w:r>
      <w:r>
        <w:rPr>
          <w:rStyle w:val="Odwoanieprzypisudolnego"/>
        </w:rPr>
        <w:footnoteReference w:id="1"/>
      </w:r>
      <w:r w:rsidRPr="00710E0C">
        <w:rPr>
          <w:szCs w:val="24"/>
          <w:lang w:val="pl-PL"/>
        </w:rPr>
        <w:t>. Wynika z niej aktualnie projektowany stan docelowych środowisk przetwarzania SIG, w którym podstawowy podział środowisk przetwarzania przewiduje istnienie trzech warstw infrastruktury: warstwy aplikacji, warstwy szyny usług (ESB) oraz warstwy bazy danych. Warstwy te świadczą na rzecz ich otoczenia usługi infrastrukturalne: usługę wirtualizacji aplikacji, usługę szyny usług (ESB) oraz usługi związane z dostępem  do bazy danych i magazynów składowania (SAN oraz NAS). Usługami infrastrukturalnymi są również usługi związane z bieżącą administracją środowisk, np. usługa obsługi kopii zapasowych oraz usługa utrzymania i monitorowania.</w:t>
      </w:r>
    </w:p>
    <w:p w:rsidR="00710E0C" w:rsidRPr="00710E0C" w:rsidRDefault="00710E0C" w:rsidP="00710E0C">
      <w:pPr>
        <w:spacing w:before="120" w:after="120"/>
        <w:rPr>
          <w:b/>
          <w:szCs w:val="24"/>
          <w:lang w:val="pl-PL"/>
        </w:rPr>
      </w:pPr>
      <w:r w:rsidRPr="00710E0C">
        <w:rPr>
          <w:szCs w:val="24"/>
          <w:lang w:val="pl-PL"/>
        </w:rPr>
        <w:t>Klientem usług infrastrukturalnych SIG są aplikacje (systemy informatyczne) wytwarzane w ramach projektów inwestycyjnych, a także bezpośrednio administratorzy CODGiK.</w:t>
      </w:r>
    </w:p>
    <w:p w:rsidR="00710E0C" w:rsidRDefault="0040094C" w:rsidP="00710E0C">
      <w:pPr>
        <w:keepNext/>
        <w:jc w:val="center"/>
      </w:pPr>
      <w:r w:rsidRPr="0040094C">
        <w:rPr>
          <w:noProof/>
          <w:lang w:val="pl-PL" w:eastAsia="pl-PL"/>
        </w:rPr>
        <w:t xml:space="preserve"> </w:t>
      </w:r>
      <w:r w:rsidR="00746A3F">
        <w:rPr>
          <w:noProof/>
          <w:lang w:val="pl-PL" w:eastAsia="pl-PL"/>
        </w:rPr>
        <w:drawing>
          <wp:inline distT="0" distB="0" distL="0" distR="0" wp14:anchorId="5E5D7D30" wp14:editId="43987E51">
            <wp:extent cx="5756910" cy="301371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756910" cy="3013710"/>
                    </a:xfrm>
                    <a:prstGeom prst="rect">
                      <a:avLst/>
                    </a:prstGeom>
                    <a:noFill/>
                    <a:ln w="9525">
                      <a:noFill/>
                      <a:miter lim="800000"/>
                      <a:headEnd/>
                      <a:tailEnd/>
                    </a:ln>
                  </pic:spPr>
                </pic:pic>
              </a:graphicData>
            </a:graphic>
          </wp:inline>
        </w:drawing>
      </w:r>
    </w:p>
    <w:p w:rsidR="00710E0C" w:rsidRDefault="00710E0C" w:rsidP="00710E0C">
      <w:pPr>
        <w:pStyle w:val="Legenda"/>
        <w:rPr>
          <w:noProof/>
        </w:rPr>
      </w:pPr>
      <w:r>
        <w:t xml:space="preserve">Rysunek </w:t>
      </w:r>
      <w:fldSimple w:instr=" SEQ Rysunek \* ARABIC ">
        <w:r>
          <w:rPr>
            <w:noProof/>
          </w:rPr>
          <w:t>7</w:t>
        </w:r>
      </w:fldSimple>
      <w:r>
        <w:rPr>
          <w:noProof/>
        </w:rPr>
        <w:t xml:space="preserve"> Usługi infrastrukturalne SIG</w:t>
      </w:r>
    </w:p>
    <w:p w:rsidR="00710E0C" w:rsidRPr="00710E0C" w:rsidRDefault="00710E0C" w:rsidP="00710E0C">
      <w:pPr>
        <w:spacing w:before="120" w:after="120"/>
        <w:rPr>
          <w:szCs w:val="24"/>
          <w:lang w:val="pl-PL"/>
        </w:rPr>
      </w:pPr>
      <w:r w:rsidRPr="00710E0C">
        <w:rPr>
          <w:szCs w:val="24"/>
          <w:lang w:val="pl-PL"/>
        </w:rPr>
        <w:t>Wymagania na usługi infrastrukturalne są konsekwencją wymagań wydajnościowych aplikacji, które z nich korzystają. Większość aplikacji została zwymiarowania pod kątem wydajności, której potrzebuje. Miarą badania wydajności jest zgodnie z metodą wymiarowania usług SIG liczba operacji biznesowych na sekundę zgodnie z testem referencyjnym SPECjEnterprise2010 (EjOPS).</w:t>
      </w:r>
      <w:r w:rsidRPr="00710E0C">
        <w:rPr>
          <w:b/>
          <w:szCs w:val="24"/>
          <w:lang w:val="pl-PL"/>
        </w:rPr>
        <w:t xml:space="preserve"> </w:t>
      </w:r>
      <w:r w:rsidRPr="00710E0C">
        <w:rPr>
          <w:szCs w:val="24"/>
          <w:lang w:val="pl-PL"/>
        </w:rPr>
        <w:t>Suma wymagań wydajnościowych wszystkich aplikacji SIG tworzy całkowitą liczbę określającą wydajność usług infrastrukturalnych.</w:t>
      </w:r>
    </w:p>
    <w:p w:rsidR="00710E0C" w:rsidRPr="00710E0C" w:rsidRDefault="00710E0C" w:rsidP="00710E0C">
      <w:pPr>
        <w:spacing w:before="120" w:after="120"/>
        <w:rPr>
          <w:b/>
          <w:szCs w:val="24"/>
          <w:lang w:val="pl-PL"/>
        </w:rPr>
      </w:pPr>
      <w:r w:rsidRPr="00710E0C">
        <w:rPr>
          <w:szCs w:val="24"/>
          <w:lang w:val="pl-PL"/>
        </w:rPr>
        <w:t>Metoda wymiarowania usług SIG jest jedyną i obowiązkową metodą badania pojemności i wymagań związanych z potrzebami infrastrukturalnymi wszystkich aplikacji powstających w ramach SIG.</w:t>
      </w:r>
    </w:p>
    <w:p w:rsidR="00710E0C" w:rsidRPr="00710E0C" w:rsidRDefault="00710E0C" w:rsidP="00710E0C">
      <w:pPr>
        <w:spacing w:before="120" w:after="120"/>
        <w:rPr>
          <w:szCs w:val="24"/>
          <w:lang w:val="pl-PL"/>
        </w:rPr>
      </w:pPr>
      <w:r w:rsidRPr="00710E0C">
        <w:rPr>
          <w:szCs w:val="24"/>
          <w:lang w:val="pl-PL"/>
        </w:rPr>
        <w:lastRenderedPageBreak/>
        <w:t xml:space="preserve">Usługi infrastrukturalne, aby spełnić wymagania wydajnościowe muszą być realizowane przez odpowiednie środowisko programowo-sprzętowe. </w:t>
      </w:r>
      <w:r w:rsidR="00874679">
        <w:rPr>
          <w:szCs w:val="24"/>
        </w:rPr>
        <w:fldChar w:fldCharType="begin"/>
      </w:r>
      <w:r w:rsidRPr="00710E0C">
        <w:rPr>
          <w:szCs w:val="24"/>
          <w:lang w:val="pl-PL"/>
        </w:rPr>
        <w:instrText xml:space="preserve"> REF _Ref306973544 \h </w:instrText>
      </w:r>
      <w:r w:rsidR="00874679">
        <w:rPr>
          <w:szCs w:val="24"/>
        </w:rPr>
      </w:r>
      <w:r w:rsidR="00874679">
        <w:rPr>
          <w:szCs w:val="24"/>
        </w:rPr>
        <w:fldChar w:fldCharType="separate"/>
      </w:r>
      <w:r w:rsidRPr="00710E0C">
        <w:rPr>
          <w:lang w:val="pl-PL"/>
        </w:rPr>
        <w:t xml:space="preserve">Rysunek </w:t>
      </w:r>
      <w:r w:rsidRPr="00710E0C">
        <w:rPr>
          <w:noProof/>
          <w:lang w:val="pl-PL"/>
        </w:rPr>
        <w:t>8</w:t>
      </w:r>
      <w:r w:rsidR="00874679">
        <w:rPr>
          <w:szCs w:val="24"/>
        </w:rPr>
        <w:fldChar w:fldCharType="end"/>
      </w:r>
      <w:r w:rsidRPr="00710E0C">
        <w:rPr>
          <w:szCs w:val="24"/>
          <w:lang w:val="pl-PL"/>
        </w:rPr>
        <w:t xml:space="preserve"> przedstawia architekturę oprogramowania SIG, w którym oprogramowanie standardowe realizuje usługi infrastrukturalne SIG.</w:t>
      </w:r>
    </w:p>
    <w:p w:rsidR="00710E0C" w:rsidRDefault="00746A3F" w:rsidP="00710E0C">
      <w:pPr>
        <w:keepNext/>
        <w:spacing w:before="120" w:after="120"/>
        <w:jc w:val="center"/>
      </w:pPr>
      <w:r>
        <w:rPr>
          <w:b/>
          <w:noProof/>
          <w:szCs w:val="24"/>
          <w:lang w:val="pl-PL" w:eastAsia="pl-PL"/>
        </w:rPr>
        <w:drawing>
          <wp:inline distT="0" distB="0" distL="0" distR="0" wp14:anchorId="4C32C822" wp14:editId="5334B0F8">
            <wp:extent cx="5398770" cy="2162810"/>
            <wp:effectExtent l="19050" t="0" r="0" b="0"/>
            <wp:docPr id="1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5" cstate="print"/>
                    <a:srcRect/>
                    <a:stretch>
                      <a:fillRect/>
                    </a:stretch>
                  </pic:blipFill>
                  <pic:spPr bwMode="auto">
                    <a:xfrm>
                      <a:off x="0" y="0"/>
                      <a:ext cx="5398770" cy="2162810"/>
                    </a:xfrm>
                    <a:prstGeom prst="rect">
                      <a:avLst/>
                    </a:prstGeom>
                    <a:noFill/>
                    <a:ln w="9525">
                      <a:noFill/>
                      <a:miter lim="800000"/>
                      <a:headEnd/>
                      <a:tailEnd/>
                    </a:ln>
                  </pic:spPr>
                </pic:pic>
              </a:graphicData>
            </a:graphic>
          </wp:inline>
        </w:drawing>
      </w:r>
    </w:p>
    <w:p w:rsidR="00710E0C" w:rsidRDefault="00710E0C" w:rsidP="00710E0C">
      <w:pPr>
        <w:pStyle w:val="Legenda"/>
        <w:rPr>
          <w:b/>
          <w:szCs w:val="24"/>
        </w:rPr>
      </w:pPr>
      <w:bookmarkStart w:id="62" w:name="_Ref306973544"/>
      <w:bookmarkStart w:id="63" w:name="_Ref306973538"/>
      <w:r>
        <w:t xml:space="preserve">Rysunek </w:t>
      </w:r>
      <w:fldSimple w:instr=" SEQ Rysunek \* ARABIC ">
        <w:r>
          <w:rPr>
            <w:noProof/>
          </w:rPr>
          <w:t>8</w:t>
        </w:r>
      </w:fldSimple>
      <w:bookmarkEnd w:id="62"/>
      <w:r>
        <w:t xml:space="preserve"> Infrastruktura oprogramowania SIG</w:t>
      </w:r>
      <w:bookmarkEnd w:id="63"/>
    </w:p>
    <w:p w:rsidR="00710E0C" w:rsidRPr="00710E0C" w:rsidRDefault="00710E0C" w:rsidP="00710E0C">
      <w:pPr>
        <w:spacing w:before="120" w:after="120"/>
        <w:rPr>
          <w:szCs w:val="24"/>
          <w:lang w:val="pl-PL"/>
        </w:rPr>
      </w:pPr>
      <w:r w:rsidRPr="00710E0C">
        <w:rPr>
          <w:szCs w:val="24"/>
          <w:lang w:val="pl-PL"/>
        </w:rPr>
        <w:t xml:space="preserve">W ramach oprogramowania standardowego wydzielane są środowiska przetwarzania, które wiążą się z podziałem na środowiska produkcyjne i pomocnicze. W skład środowisk pomocniczych wchodzą </w:t>
      </w:r>
      <w:r w:rsidRPr="00710E0C">
        <w:rPr>
          <w:lang w:val="pl-PL"/>
        </w:rPr>
        <w:t>środowiska: pre-produkcyjne, testowe, szkoleniowe i deweloperskie.</w:t>
      </w:r>
      <w:r w:rsidRPr="00710E0C">
        <w:rPr>
          <w:szCs w:val="24"/>
          <w:lang w:val="pl-PL"/>
        </w:rPr>
        <w:t xml:space="preserve"> Zakres i przestrzeń dla tych środowisk są administrowane z poziomu danego oprogramowania, np. oprogramowanie wirtualizacyjne VMware zarządza środowiskami produkcyjnymi i pomocniczymi dla aplikacji (systemów informatycznych) wytwarzanych w GUGiK.</w:t>
      </w:r>
    </w:p>
    <w:p w:rsidR="00710E0C" w:rsidRPr="00710E0C" w:rsidRDefault="00710E0C" w:rsidP="00710E0C">
      <w:pPr>
        <w:spacing w:before="120" w:after="120"/>
        <w:rPr>
          <w:szCs w:val="24"/>
          <w:lang w:val="pl-PL"/>
        </w:rPr>
      </w:pPr>
      <w:r w:rsidRPr="00710E0C">
        <w:rPr>
          <w:szCs w:val="24"/>
          <w:lang w:val="pl-PL"/>
        </w:rPr>
        <w:t xml:space="preserve">Środowiska przetwarzania jako elementy infrastruktury oprogramowania wymagają odpowiedniej infrastruktury sprzętowej i infrastruktury składowania (ang. storage). </w:t>
      </w:r>
      <w:r w:rsidR="00874679">
        <w:rPr>
          <w:szCs w:val="24"/>
        </w:rPr>
        <w:fldChar w:fldCharType="begin"/>
      </w:r>
      <w:r w:rsidRPr="00710E0C">
        <w:rPr>
          <w:szCs w:val="24"/>
          <w:lang w:val="pl-PL"/>
        </w:rPr>
        <w:instrText xml:space="preserve"> REF _Ref306974678 \h </w:instrText>
      </w:r>
      <w:r w:rsidR="00874679">
        <w:rPr>
          <w:szCs w:val="24"/>
        </w:rPr>
      </w:r>
      <w:r w:rsidR="00874679">
        <w:rPr>
          <w:szCs w:val="24"/>
        </w:rPr>
        <w:fldChar w:fldCharType="separate"/>
      </w:r>
      <w:r w:rsidRPr="00710E0C">
        <w:rPr>
          <w:lang w:val="pl-PL"/>
        </w:rPr>
        <w:t xml:space="preserve">Rysunek </w:t>
      </w:r>
      <w:r w:rsidRPr="00710E0C">
        <w:rPr>
          <w:noProof/>
          <w:lang w:val="pl-PL"/>
        </w:rPr>
        <w:t>9</w:t>
      </w:r>
      <w:r w:rsidR="00874679">
        <w:rPr>
          <w:szCs w:val="24"/>
        </w:rPr>
        <w:fldChar w:fldCharType="end"/>
      </w:r>
      <w:r w:rsidRPr="00710E0C">
        <w:rPr>
          <w:szCs w:val="24"/>
          <w:lang w:val="pl-PL"/>
        </w:rPr>
        <w:t xml:space="preserve"> przedstawia organizację infrastruktury sprzętowej potrzebnej dla funkcjonowania środowisk przetwarzania SIG.</w:t>
      </w:r>
    </w:p>
    <w:p w:rsidR="00710E0C" w:rsidRDefault="00746A3F" w:rsidP="00710E0C">
      <w:pPr>
        <w:keepNext/>
        <w:spacing w:before="120" w:after="120"/>
        <w:jc w:val="center"/>
      </w:pPr>
      <w:r>
        <w:rPr>
          <w:noProof/>
          <w:szCs w:val="24"/>
          <w:lang w:val="pl-PL" w:eastAsia="pl-PL"/>
        </w:rPr>
        <w:lastRenderedPageBreak/>
        <w:drawing>
          <wp:inline distT="0" distB="0" distL="0" distR="0" wp14:anchorId="2775F429" wp14:editId="7324891B">
            <wp:extent cx="5391150" cy="4134485"/>
            <wp:effectExtent l="19050" t="0" r="0" b="0"/>
            <wp:docPr id="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6" cstate="print"/>
                    <a:srcRect/>
                    <a:stretch>
                      <a:fillRect/>
                    </a:stretch>
                  </pic:blipFill>
                  <pic:spPr bwMode="auto">
                    <a:xfrm>
                      <a:off x="0" y="0"/>
                      <a:ext cx="5391150" cy="4134485"/>
                    </a:xfrm>
                    <a:prstGeom prst="rect">
                      <a:avLst/>
                    </a:prstGeom>
                    <a:noFill/>
                    <a:ln w="9525">
                      <a:noFill/>
                      <a:miter lim="800000"/>
                      <a:headEnd/>
                      <a:tailEnd/>
                    </a:ln>
                  </pic:spPr>
                </pic:pic>
              </a:graphicData>
            </a:graphic>
          </wp:inline>
        </w:drawing>
      </w:r>
    </w:p>
    <w:p w:rsidR="00710E0C" w:rsidRDefault="00710E0C" w:rsidP="00710E0C">
      <w:pPr>
        <w:pStyle w:val="Legenda"/>
        <w:rPr>
          <w:szCs w:val="24"/>
        </w:rPr>
      </w:pPr>
      <w:bookmarkStart w:id="64" w:name="_Ref306974678"/>
      <w:r>
        <w:t xml:space="preserve">Rysunek </w:t>
      </w:r>
      <w:fldSimple w:instr=" SEQ Rysunek \* ARABIC ">
        <w:r>
          <w:rPr>
            <w:noProof/>
          </w:rPr>
          <w:t>9</w:t>
        </w:r>
      </w:fldSimple>
      <w:bookmarkEnd w:id="64"/>
      <w:r>
        <w:t xml:space="preserve"> Infrastruktura sprzętowa</w:t>
      </w:r>
    </w:p>
    <w:p w:rsidR="00710E0C" w:rsidRPr="00710E0C" w:rsidRDefault="00710E0C" w:rsidP="00710E0C">
      <w:pPr>
        <w:spacing w:before="120" w:after="120"/>
        <w:rPr>
          <w:szCs w:val="24"/>
          <w:lang w:val="pl-PL"/>
        </w:rPr>
      </w:pPr>
      <w:r w:rsidRPr="00710E0C">
        <w:rPr>
          <w:szCs w:val="24"/>
          <w:lang w:val="pl-PL"/>
        </w:rPr>
        <w:t>Kluczowymi elementami infrastruktury sprzętowej są serwery BladeCenter, które fizycznie zlokalizowane są w klatkach Blade (bc01, bc02, bc03 oraz bc04 – poza schematem).</w:t>
      </w:r>
    </w:p>
    <w:p w:rsidR="00710E0C" w:rsidRPr="00710E0C" w:rsidRDefault="00874679" w:rsidP="00710E0C">
      <w:pPr>
        <w:spacing w:before="120" w:after="120"/>
        <w:rPr>
          <w:szCs w:val="24"/>
          <w:lang w:val="pl-PL"/>
        </w:rPr>
      </w:pPr>
      <w:r>
        <w:rPr>
          <w:szCs w:val="24"/>
        </w:rPr>
        <w:fldChar w:fldCharType="begin"/>
      </w:r>
      <w:r w:rsidR="00710E0C" w:rsidRPr="00710E0C">
        <w:rPr>
          <w:szCs w:val="24"/>
          <w:lang w:val="pl-PL"/>
        </w:rPr>
        <w:instrText xml:space="preserve"> REF _Ref306975133 \h </w:instrText>
      </w:r>
      <w:r>
        <w:rPr>
          <w:szCs w:val="24"/>
        </w:rPr>
      </w:r>
      <w:r>
        <w:rPr>
          <w:szCs w:val="24"/>
        </w:rPr>
        <w:fldChar w:fldCharType="separate"/>
      </w:r>
      <w:r w:rsidR="00710E0C" w:rsidRPr="00710E0C">
        <w:rPr>
          <w:lang w:val="pl-PL"/>
        </w:rPr>
        <w:t xml:space="preserve">Rysunek </w:t>
      </w:r>
      <w:r w:rsidR="00710E0C" w:rsidRPr="00710E0C">
        <w:rPr>
          <w:noProof/>
          <w:lang w:val="pl-PL"/>
        </w:rPr>
        <w:t>10</w:t>
      </w:r>
      <w:r>
        <w:rPr>
          <w:szCs w:val="24"/>
        </w:rPr>
        <w:fldChar w:fldCharType="end"/>
      </w:r>
      <w:r w:rsidR="00710E0C" w:rsidRPr="00710E0C">
        <w:rPr>
          <w:szCs w:val="24"/>
          <w:lang w:val="pl-PL"/>
        </w:rPr>
        <w:t xml:space="preserve"> przedstawia organizację infrastruktury sprzętowej składowania (ang. storage) dla elementów infrastruktury oprogramowania.</w:t>
      </w:r>
    </w:p>
    <w:p w:rsidR="00710E0C" w:rsidRDefault="00746A3F" w:rsidP="00710E0C">
      <w:pPr>
        <w:keepNext/>
        <w:spacing w:before="120" w:after="120"/>
        <w:jc w:val="center"/>
      </w:pPr>
      <w:r>
        <w:rPr>
          <w:noProof/>
          <w:szCs w:val="24"/>
          <w:lang w:val="pl-PL" w:eastAsia="pl-PL"/>
        </w:rPr>
        <w:lastRenderedPageBreak/>
        <w:drawing>
          <wp:inline distT="0" distB="0" distL="0" distR="0" wp14:anchorId="5BACC432" wp14:editId="0DEFA7E1">
            <wp:extent cx="5391150" cy="3411220"/>
            <wp:effectExtent l="19050" t="0" r="0" b="0"/>
            <wp:docPr id="1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7" cstate="print"/>
                    <a:srcRect/>
                    <a:stretch>
                      <a:fillRect/>
                    </a:stretch>
                  </pic:blipFill>
                  <pic:spPr bwMode="auto">
                    <a:xfrm>
                      <a:off x="0" y="0"/>
                      <a:ext cx="5391150" cy="3411220"/>
                    </a:xfrm>
                    <a:prstGeom prst="rect">
                      <a:avLst/>
                    </a:prstGeom>
                    <a:noFill/>
                    <a:ln w="9525">
                      <a:noFill/>
                      <a:miter lim="800000"/>
                      <a:headEnd/>
                      <a:tailEnd/>
                    </a:ln>
                  </pic:spPr>
                </pic:pic>
              </a:graphicData>
            </a:graphic>
          </wp:inline>
        </w:drawing>
      </w:r>
    </w:p>
    <w:p w:rsidR="00710E0C" w:rsidRDefault="00710E0C" w:rsidP="00710E0C">
      <w:pPr>
        <w:pStyle w:val="Legenda"/>
      </w:pPr>
      <w:bookmarkStart w:id="65" w:name="_Ref306975133"/>
      <w:r>
        <w:t xml:space="preserve">Rysunek </w:t>
      </w:r>
      <w:fldSimple w:instr=" SEQ Rysunek \* ARABIC ">
        <w:r>
          <w:rPr>
            <w:noProof/>
          </w:rPr>
          <w:t>10</w:t>
        </w:r>
      </w:fldSimple>
      <w:bookmarkEnd w:id="65"/>
      <w:r>
        <w:t xml:space="preserve"> Infrastruktura sprzętowa składowania</w:t>
      </w:r>
    </w:p>
    <w:p w:rsidR="00710E0C" w:rsidRPr="00710E0C" w:rsidRDefault="00710E0C" w:rsidP="00710E0C">
      <w:pPr>
        <w:rPr>
          <w:lang w:val="pl-PL" w:eastAsia="pl-PL"/>
        </w:rPr>
      </w:pPr>
      <w:r w:rsidRPr="00710E0C">
        <w:rPr>
          <w:lang w:val="pl-PL" w:eastAsia="pl-PL"/>
        </w:rPr>
        <w:t>Podstawową technologią realizującą usługę dostępu do bazy danych jest Oracle Exadata. W związku z tym, każda aplikacja korzystająca z usługi dostępu do bazy danych POWINNA być wykonana i optymalizowana pod kątem technologii Oracle Exadata.</w:t>
      </w:r>
    </w:p>
    <w:p w:rsidR="00710E0C" w:rsidRPr="00710E0C" w:rsidRDefault="00710E0C" w:rsidP="00710E0C">
      <w:pPr>
        <w:rPr>
          <w:lang w:val="pl-PL" w:eastAsia="pl-PL"/>
        </w:rPr>
      </w:pPr>
      <w:r w:rsidRPr="00710E0C">
        <w:rPr>
          <w:lang w:val="pl-PL" w:eastAsia="pl-PL"/>
        </w:rPr>
        <w:t>Wszystkie zasoby infrastrukturalne SIG znajdują się w sieci LAN, której wewnętrzna organizacja jest oparta na następujących elementach.</w:t>
      </w:r>
    </w:p>
    <w:p w:rsidR="00710E0C" w:rsidRDefault="00746A3F" w:rsidP="00710E0C">
      <w:pPr>
        <w:keepNext/>
        <w:jc w:val="center"/>
      </w:pPr>
      <w:r>
        <w:rPr>
          <w:noProof/>
          <w:lang w:val="pl-PL" w:eastAsia="pl-PL"/>
        </w:rPr>
        <w:drawing>
          <wp:inline distT="0" distB="0" distL="0" distR="0" wp14:anchorId="3E0823ED" wp14:editId="595715FC">
            <wp:extent cx="5391150" cy="2997835"/>
            <wp:effectExtent l="19050" t="0" r="0" b="0"/>
            <wp:docPr id="1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8" cstate="print"/>
                    <a:srcRect/>
                    <a:stretch>
                      <a:fillRect/>
                    </a:stretch>
                  </pic:blipFill>
                  <pic:spPr bwMode="auto">
                    <a:xfrm>
                      <a:off x="0" y="0"/>
                      <a:ext cx="5391150" cy="2997835"/>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fldSimple w:instr=" SEQ Rysunek \* ARABIC ">
        <w:r>
          <w:rPr>
            <w:noProof/>
          </w:rPr>
          <w:t>11</w:t>
        </w:r>
      </w:fldSimple>
      <w:r>
        <w:t xml:space="preserve"> Infrastruktura sieciowa SIG</w:t>
      </w:r>
    </w:p>
    <w:p w:rsidR="00710E0C" w:rsidRPr="00710E0C" w:rsidRDefault="00710E0C" w:rsidP="00710E0C">
      <w:pPr>
        <w:rPr>
          <w:lang w:val="pl-PL" w:eastAsia="pl-PL"/>
        </w:rPr>
      </w:pPr>
      <w:r w:rsidRPr="00710E0C">
        <w:rPr>
          <w:lang w:val="pl-PL" w:eastAsia="pl-PL"/>
        </w:rPr>
        <w:t>Zestawienie wszystkich zasobów infrastruktury SIG daje kompleksowy obraz architektury technologicznej SIG.</w:t>
      </w:r>
    </w:p>
    <w:p w:rsidR="00710E0C" w:rsidRDefault="0040094C" w:rsidP="00710E0C">
      <w:pPr>
        <w:keepNext/>
        <w:jc w:val="center"/>
      </w:pPr>
      <w:r w:rsidRPr="0040094C">
        <w:rPr>
          <w:noProof/>
          <w:lang w:val="pl-PL" w:eastAsia="pl-PL"/>
        </w:rPr>
        <w:lastRenderedPageBreak/>
        <w:t xml:space="preserve"> </w:t>
      </w:r>
      <w:r w:rsidR="00746A3F">
        <w:rPr>
          <w:noProof/>
          <w:lang w:val="pl-PL" w:eastAsia="pl-PL"/>
        </w:rPr>
        <w:drawing>
          <wp:inline distT="0" distB="0" distL="0" distR="0" wp14:anchorId="7CF34B0C" wp14:editId="1C92F7C8">
            <wp:extent cx="5756910" cy="4881880"/>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756910" cy="4881880"/>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fldSimple w:instr=" SEQ Rysunek \* ARABIC ">
        <w:r>
          <w:rPr>
            <w:noProof/>
          </w:rPr>
          <w:t>12</w:t>
        </w:r>
      </w:fldSimple>
      <w:r>
        <w:t xml:space="preserve"> Architektura technologiczna SIG</w:t>
      </w:r>
    </w:p>
    <w:p w:rsidR="004044D7" w:rsidRPr="0000517B" w:rsidRDefault="004044D7" w:rsidP="0000517B">
      <w:pPr>
        <w:rPr>
          <w:i/>
          <w:lang w:val="pl-PL"/>
        </w:rPr>
      </w:pPr>
    </w:p>
    <w:p w:rsidR="004044D7" w:rsidRPr="0000517B" w:rsidRDefault="004044D7" w:rsidP="004044D7">
      <w:pPr>
        <w:jc w:val="both"/>
        <w:rPr>
          <w:lang w:val="pl-PL" w:eastAsia="pl-PL"/>
        </w:rPr>
      </w:pPr>
      <w:r w:rsidRPr="0000517B">
        <w:rPr>
          <w:b/>
          <w:lang w:val="pl-PL" w:eastAsia="pl-PL"/>
        </w:rPr>
        <w:t>Uwaga</w:t>
      </w:r>
      <w:r w:rsidRPr="0000517B">
        <w:rPr>
          <w:lang w:val="pl-PL" w:eastAsia="pl-PL"/>
        </w:rPr>
        <w:t>: Architektura technologiczna może ulec zm</w:t>
      </w:r>
      <w:r w:rsidR="00214096">
        <w:rPr>
          <w:lang w:val="pl-PL" w:eastAsia="pl-PL"/>
        </w:rPr>
        <w:t>i</w:t>
      </w:r>
      <w:r w:rsidRPr="0000517B">
        <w:rPr>
          <w:lang w:val="pl-PL" w:eastAsia="pl-PL"/>
        </w:rPr>
        <w:t xml:space="preserve">anie z uwagi na planowane postępowanie w zakresie dostawy </w:t>
      </w:r>
      <w:r w:rsidR="00214096" w:rsidRPr="00974D74">
        <w:rPr>
          <w:lang w:val="pl-PL" w:eastAsia="pl-PL"/>
        </w:rPr>
        <w:t>infrastruktury</w:t>
      </w:r>
      <w:r w:rsidRPr="0000517B">
        <w:rPr>
          <w:lang w:val="pl-PL" w:eastAsia="pl-PL"/>
        </w:rPr>
        <w:t>.</w:t>
      </w:r>
    </w:p>
    <w:p w:rsidR="004044D7" w:rsidRPr="0000517B" w:rsidRDefault="004044D7" w:rsidP="0000517B">
      <w:pPr>
        <w:rPr>
          <w:b/>
          <w:lang w:val="pl-PL"/>
        </w:rPr>
      </w:pPr>
    </w:p>
    <w:sectPr w:rsidR="004044D7" w:rsidRPr="0000517B" w:rsidSect="006D75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03" w:rsidRDefault="008C1403" w:rsidP="00710E0C">
      <w:pPr>
        <w:spacing w:after="0" w:line="240" w:lineRule="auto"/>
      </w:pPr>
      <w:r>
        <w:separator/>
      </w:r>
    </w:p>
  </w:endnote>
  <w:endnote w:type="continuationSeparator" w:id="0">
    <w:p w:rsidR="008C1403" w:rsidRDefault="008C1403" w:rsidP="0071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03" w:rsidRDefault="008C1403" w:rsidP="00710E0C">
      <w:pPr>
        <w:spacing w:after="0" w:line="240" w:lineRule="auto"/>
      </w:pPr>
      <w:r>
        <w:separator/>
      </w:r>
    </w:p>
  </w:footnote>
  <w:footnote w:type="continuationSeparator" w:id="0">
    <w:p w:rsidR="008C1403" w:rsidRDefault="008C1403" w:rsidP="00710E0C">
      <w:pPr>
        <w:spacing w:after="0" w:line="240" w:lineRule="auto"/>
      </w:pPr>
      <w:r>
        <w:continuationSeparator/>
      </w:r>
    </w:p>
  </w:footnote>
  <w:footnote w:id="1">
    <w:p w:rsidR="00710E0C" w:rsidRPr="00710E0C" w:rsidRDefault="00710E0C" w:rsidP="00710E0C">
      <w:pPr>
        <w:pStyle w:val="Tekstprzypisudolnego"/>
        <w:rPr>
          <w:lang w:val="pl-PL"/>
        </w:rPr>
      </w:pPr>
      <w:r>
        <w:rPr>
          <w:rStyle w:val="Odwoanieprzypisudolnego"/>
        </w:rPr>
        <w:footnoteRef/>
      </w:r>
      <w:r w:rsidRPr="00710E0C">
        <w:rPr>
          <w:lang w:val="pl-PL"/>
        </w:rPr>
        <w:t xml:space="preserve"> „Metoda wymiarowania usług SIG”, Główny Urząd Geodezji i Kartografii,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2F60"/>
    <w:multiLevelType w:val="hybridMultilevel"/>
    <w:tmpl w:val="82F69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2E012B"/>
    <w:multiLevelType w:val="hybridMultilevel"/>
    <w:tmpl w:val="EF949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07976"/>
    <w:multiLevelType w:val="hybridMultilevel"/>
    <w:tmpl w:val="FBFC7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EF0683"/>
    <w:multiLevelType w:val="hybridMultilevel"/>
    <w:tmpl w:val="4942D54A"/>
    <w:lvl w:ilvl="0" w:tplc="90DCD0A0">
      <w:start w:val="1"/>
      <w:numFmt w:val="decimal"/>
      <w:pStyle w:val="Nagwek1"/>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356DB9"/>
    <w:multiLevelType w:val="hybridMultilevel"/>
    <w:tmpl w:val="3AC64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35A11"/>
    <w:multiLevelType w:val="hybridMultilevel"/>
    <w:tmpl w:val="13669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10B6B"/>
    <w:multiLevelType w:val="hybridMultilevel"/>
    <w:tmpl w:val="66926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5C5BB8"/>
    <w:multiLevelType w:val="hybridMultilevel"/>
    <w:tmpl w:val="CF3E0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628D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464187"/>
    <w:multiLevelType w:val="hybridMultilevel"/>
    <w:tmpl w:val="29006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484478"/>
    <w:multiLevelType w:val="hybridMultilevel"/>
    <w:tmpl w:val="F0521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1D54D7"/>
    <w:multiLevelType w:val="hybridMultilevel"/>
    <w:tmpl w:val="2C26FB10"/>
    <w:lvl w:ilvl="0" w:tplc="C6BEF99A">
      <w:start w:val="1"/>
      <w:numFmt w:val="decimal"/>
      <w:pStyle w:val="numeracja"/>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2" w15:restartNumberingAfterBreak="0">
    <w:nsid w:val="3A563A89"/>
    <w:multiLevelType w:val="hybridMultilevel"/>
    <w:tmpl w:val="DC065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DF3351"/>
    <w:multiLevelType w:val="hybridMultilevel"/>
    <w:tmpl w:val="E8BAA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7D3884"/>
    <w:multiLevelType w:val="hybridMultilevel"/>
    <w:tmpl w:val="CCFA2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F93FC3"/>
    <w:multiLevelType w:val="hybridMultilevel"/>
    <w:tmpl w:val="C8F61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0B7748"/>
    <w:multiLevelType w:val="hybridMultilevel"/>
    <w:tmpl w:val="91D65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9F4DB8"/>
    <w:multiLevelType w:val="hybridMultilevel"/>
    <w:tmpl w:val="A0BCF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193C31"/>
    <w:multiLevelType w:val="hybridMultilevel"/>
    <w:tmpl w:val="BC6C1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A57777"/>
    <w:multiLevelType w:val="hybridMultilevel"/>
    <w:tmpl w:val="BD7C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184D40"/>
    <w:multiLevelType w:val="hybridMultilevel"/>
    <w:tmpl w:val="B45CD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3F2DCE"/>
    <w:multiLevelType w:val="hybridMultilevel"/>
    <w:tmpl w:val="E6AAC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146A33"/>
    <w:multiLevelType w:val="hybridMultilevel"/>
    <w:tmpl w:val="FF10B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3B5BEC"/>
    <w:multiLevelType w:val="hybridMultilevel"/>
    <w:tmpl w:val="7ABE3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1F6364"/>
    <w:multiLevelType w:val="hybridMultilevel"/>
    <w:tmpl w:val="9B0C9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5D35C5"/>
    <w:multiLevelType w:val="hybridMultilevel"/>
    <w:tmpl w:val="EA8EE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593B90"/>
    <w:multiLevelType w:val="hybridMultilevel"/>
    <w:tmpl w:val="9D82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F479A8"/>
    <w:multiLevelType w:val="hybridMultilevel"/>
    <w:tmpl w:val="FD2C1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0915D7"/>
    <w:multiLevelType w:val="hybridMultilevel"/>
    <w:tmpl w:val="FD7E78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8B0548E"/>
    <w:multiLevelType w:val="hybridMultilevel"/>
    <w:tmpl w:val="30E2C0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0"/>
  </w:num>
  <w:num w:numId="5">
    <w:abstractNumId w:val="24"/>
  </w:num>
  <w:num w:numId="6">
    <w:abstractNumId w:val="17"/>
  </w:num>
  <w:num w:numId="7">
    <w:abstractNumId w:val="22"/>
  </w:num>
  <w:num w:numId="8">
    <w:abstractNumId w:val="16"/>
  </w:num>
  <w:num w:numId="9">
    <w:abstractNumId w:val="8"/>
  </w:num>
  <w:num w:numId="10">
    <w:abstractNumId w:val="14"/>
  </w:num>
  <w:num w:numId="11">
    <w:abstractNumId w:val="6"/>
  </w:num>
  <w:num w:numId="12">
    <w:abstractNumId w:val="12"/>
  </w:num>
  <w:num w:numId="13">
    <w:abstractNumId w:val="5"/>
  </w:num>
  <w:num w:numId="14">
    <w:abstractNumId w:val="9"/>
  </w:num>
  <w:num w:numId="15">
    <w:abstractNumId w:val="15"/>
  </w:num>
  <w:num w:numId="16">
    <w:abstractNumId w:val="29"/>
  </w:num>
  <w:num w:numId="17">
    <w:abstractNumId w:val="13"/>
  </w:num>
  <w:num w:numId="18">
    <w:abstractNumId w:val="28"/>
  </w:num>
  <w:num w:numId="19">
    <w:abstractNumId w:val="2"/>
  </w:num>
  <w:num w:numId="20">
    <w:abstractNumId w:val="25"/>
  </w:num>
  <w:num w:numId="21">
    <w:abstractNumId w:val="26"/>
  </w:num>
  <w:num w:numId="22">
    <w:abstractNumId w:val="23"/>
  </w:num>
  <w:num w:numId="23">
    <w:abstractNumId w:val="21"/>
  </w:num>
  <w:num w:numId="24">
    <w:abstractNumId w:val="4"/>
  </w:num>
  <w:num w:numId="25">
    <w:abstractNumId w:val="11"/>
  </w:num>
  <w:num w:numId="26">
    <w:abstractNumId w:val="19"/>
  </w:num>
  <w:num w:numId="27">
    <w:abstractNumId w:val="27"/>
  </w:num>
  <w:num w:numId="28">
    <w:abstractNumId w:val="20"/>
  </w:num>
  <w:num w:numId="29">
    <w:abstractNumId w:val="1"/>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0C"/>
    <w:rsid w:val="00005147"/>
    <w:rsid w:val="0000517B"/>
    <w:rsid w:val="00023F83"/>
    <w:rsid w:val="000E53B2"/>
    <w:rsid w:val="00101F63"/>
    <w:rsid w:val="0013434B"/>
    <w:rsid w:val="00214096"/>
    <w:rsid w:val="0028284C"/>
    <w:rsid w:val="0029063C"/>
    <w:rsid w:val="002D19FC"/>
    <w:rsid w:val="0040094C"/>
    <w:rsid w:val="004044D7"/>
    <w:rsid w:val="00406111"/>
    <w:rsid w:val="004D03D9"/>
    <w:rsid w:val="00607847"/>
    <w:rsid w:val="00692C91"/>
    <w:rsid w:val="006A3C21"/>
    <w:rsid w:val="006A7BD5"/>
    <w:rsid w:val="006D7592"/>
    <w:rsid w:val="006E153A"/>
    <w:rsid w:val="006F3310"/>
    <w:rsid w:val="00710E0C"/>
    <w:rsid w:val="00746A3F"/>
    <w:rsid w:val="00781FD3"/>
    <w:rsid w:val="007F4AAF"/>
    <w:rsid w:val="00822D4B"/>
    <w:rsid w:val="00825784"/>
    <w:rsid w:val="00866493"/>
    <w:rsid w:val="00874679"/>
    <w:rsid w:val="008C1403"/>
    <w:rsid w:val="008D04A6"/>
    <w:rsid w:val="00915C4E"/>
    <w:rsid w:val="00934FB1"/>
    <w:rsid w:val="00974D74"/>
    <w:rsid w:val="00975108"/>
    <w:rsid w:val="009A2DA3"/>
    <w:rsid w:val="00A26C94"/>
    <w:rsid w:val="00AF6C53"/>
    <w:rsid w:val="00B25081"/>
    <w:rsid w:val="00B403FA"/>
    <w:rsid w:val="00B41E5F"/>
    <w:rsid w:val="00B44F69"/>
    <w:rsid w:val="00B94288"/>
    <w:rsid w:val="00D804B4"/>
    <w:rsid w:val="00E647BC"/>
    <w:rsid w:val="00EF2B3D"/>
    <w:rsid w:val="00F27568"/>
    <w:rsid w:val="00F54DE0"/>
    <w:rsid w:val="00F66139"/>
    <w:rsid w:val="00FF7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0E0C"/>
    <w:pPr>
      <w:spacing w:after="200" w:line="276" w:lineRule="auto"/>
    </w:pPr>
    <w:rPr>
      <w:sz w:val="22"/>
      <w:szCs w:val="22"/>
      <w:lang w:val="en-GB" w:eastAsia="en-US"/>
    </w:rPr>
  </w:style>
  <w:style w:type="paragraph" w:styleId="Nagwek1">
    <w:name w:val="heading 1"/>
    <w:basedOn w:val="Normalny"/>
    <w:next w:val="Normalny"/>
    <w:link w:val="Nagwek1Znak"/>
    <w:uiPriority w:val="9"/>
    <w:qFormat/>
    <w:rsid w:val="00710E0C"/>
    <w:pPr>
      <w:keepNext/>
      <w:keepLines/>
      <w:numPr>
        <w:numId w:val="2"/>
      </w:numPr>
      <w:spacing w:before="480" w:after="0"/>
      <w:outlineLvl w:val="0"/>
    </w:pPr>
    <w:rPr>
      <w:rFonts w:ascii="Cambria" w:eastAsia="Times New Roman" w:hAnsi="Cambria"/>
      <w:b/>
      <w:bCs/>
      <w:color w:val="365F91"/>
      <w:sz w:val="28"/>
      <w:szCs w:val="28"/>
    </w:rPr>
  </w:style>
  <w:style w:type="paragraph" w:styleId="Nagwek2">
    <w:name w:val="heading 2"/>
    <w:next w:val="Normalny"/>
    <w:link w:val="Nagwek2Znak"/>
    <w:uiPriority w:val="99"/>
    <w:unhideWhenUsed/>
    <w:qFormat/>
    <w:rsid w:val="00710E0C"/>
    <w:pPr>
      <w:spacing w:before="200" w:after="200" w:line="276" w:lineRule="auto"/>
      <w:outlineLvl w:val="1"/>
    </w:pPr>
    <w:rPr>
      <w:rFonts w:ascii="Cambria" w:eastAsia="Times New Roman" w:hAnsi="Cambria"/>
      <w:color w:val="4F81BD"/>
      <w:sz w:val="26"/>
      <w:szCs w:val="26"/>
      <w:lang w:eastAsia="en-US"/>
    </w:rPr>
  </w:style>
  <w:style w:type="paragraph" w:styleId="Nagwek3">
    <w:name w:val="heading 3"/>
    <w:basedOn w:val="Normalny"/>
    <w:next w:val="Normalny"/>
    <w:link w:val="Nagwek3Znak"/>
    <w:uiPriority w:val="9"/>
    <w:unhideWhenUsed/>
    <w:qFormat/>
    <w:rsid w:val="00710E0C"/>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10E0C"/>
    <w:rPr>
      <w:rFonts w:ascii="Cambria" w:eastAsia="Times New Roman" w:hAnsi="Cambria" w:cs="Times New Roman"/>
      <w:b/>
      <w:bCs/>
      <w:color w:val="365F91"/>
      <w:sz w:val="28"/>
      <w:szCs w:val="28"/>
      <w:lang w:val="en-GB"/>
    </w:rPr>
  </w:style>
  <w:style w:type="character" w:customStyle="1" w:styleId="Nagwek2Znak">
    <w:name w:val="Nagłówek 2 Znak"/>
    <w:link w:val="Nagwek2"/>
    <w:uiPriority w:val="99"/>
    <w:rsid w:val="00710E0C"/>
    <w:rPr>
      <w:rFonts w:ascii="Cambria" w:eastAsia="Times New Roman" w:hAnsi="Cambria"/>
      <w:color w:val="4F81BD"/>
      <w:sz w:val="26"/>
      <w:szCs w:val="26"/>
      <w:lang w:val="pl-PL" w:eastAsia="en-US" w:bidi="ar-SA"/>
    </w:rPr>
  </w:style>
  <w:style w:type="character" w:customStyle="1" w:styleId="Nagwek3Znak">
    <w:name w:val="Nagłówek 3 Znak"/>
    <w:link w:val="Nagwek3"/>
    <w:uiPriority w:val="9"/>
    <w:rsid w:val="00710E0C"/>
    <w:rPr>
      <w:rFonts w:ascii="Cambria" w:eastAsia="Times New Roman" w:hAnsi="Cambria" w:cs="Times New Roman"/>
      <w:b/>
      <w:bCs/>
      <w:color w:val="4F81BD"/>
      <w:lang w:val="en-GB"/>
    </w:rPr>
  </w:style>
  <w:style w:type="paragraph" w:styleId="Tekstprzypisudolnego">
    <w:name w:val="footnote text"/>
    <w:basedOn w:val="Normalny"/>
    <w:link w:val="TekstprzypisudolnegoZnak"/>
    <w:unhideWhenUsed/>
    <w:rsid w:val="00710E0C"/>
    <w:pPr>
      <w:spacing w:after="0" w:line="240" w:lineRule="auto"/>
    </w:pPr>
    <w:rPr>
      <w:sz w:val="20"/>
      <w:szCs w:val="20"/>
    </w:rPr>
  </w:style>
  <w:style w:type="character" w:customStyle="1" w:styleId="TekstprzypisudolnegoZnak">
    <w:name w:val="Tekst przypisu dolnego Znak"/>
    <w:link w:val="Tekstprzypisudolnego"/>
    <w:rsid w:val="00710E0C"/>
    <w:rPr>
      <w:sz w:val="20"/>
      <w:szCs w:val="20"/>
      <w:lang w:val="en-GB"/>
    </w:rPr>
  </w:style>
  <w:style w:type="character" w:styleId="Odwoanieprzypisudolnego">
    <w:name w:val="footnote reference"/>
    <w:unhideWhenUsed/>
    <w:rsid w:val="00710E0C"/>
    <w:rPr>
      <w:vertAlign w:val="superscript"/>
    </w:rPr>
  </w:style>
  <w:style w:type="paragraph" w:styleId="Akapitzlist">
    <w:name w:val="List Paragraph"/>
    <w:basedOn w:val="Normalny"/>
    <w:uiPriority w:val="34"/>
    <w:qFormat/>
    <w:rsid w:val="00710E0C"/>
    <w:pPr>
      <w:ind w:left="720"/>
      <w:contextualSpacing/>
    </w:pPr>
  </w:style>
  <w:style w:type="paragraph" w:styleId="Spistreci1">
    <w:name w:val="toc 1"/>
    <w:basedOn w:val="Normalny"/>
    <w:next w:val="Normalny"/>
    <w:autoRedefine/>
    <w:uiPriority w:val="39"/>
    <w:unhideWhenUsed/>
    <w:rsid w:val="00710E0C"/>
    <w:pPr>
      <w:spacing w:after="100"/>
    </w:pPr>
    <w:rPr>
      <w:lang w:val="pl-PL"/>
    </w:rPr>
  </w:style>
  <w:style w:type="paragraph" w:styleId="Spistreci2">
    <w:name w:val="toc 2"/>
    <w:basedOn w:val="Normalny"/>
    <w:next w:val="Normalny"/>
    <w:autoRedefine/>
    <w:uiPriority w:val="39"/>
    <w:unhideWhenUsed/>
    <w:rsid w:val="00710E0C"/>
    <w:pPr>
      <w:spacing w:after="100"/>
      <w:ind w:left="220"/>
    </w:pPr>
  </w:style>
  <w:style w:type="character" w:styleId="Hipercze">
    <w:name w:val="Hyperlink"/>
    <w:uiPriority w:val="99"/>
    <w:unhideWhenUsed/>
    <w:rsid w:val="00710E0C"/>
    <w:rPr>
      <w:color w:val="0000FF"/>
      <w:u w:val="single"/>
    </w:rPr>
  </w:style>
  <w:style w:type="paragraph" w:customStyle="1" w:styleId="Tytuynapierwszejstronie">
    <w:name w:val="Tytuły na pierwszej stronie"/>
    <w:basedOn w:val="Normalny"/>
    <w:uiPriority w:val="99"/>
    <w:rsid w:val="00710E0C"/>
    <w:pPr>
      <w:suppressAutoHyphens/>
      <w:spacing w:before="120" w:after="120" w:line="240" w:lineRule="auto"/>
      <w:jc w:val="right"/>
    </w:pPr>
    <w:rPr>
      <w:rFonts w:ascii="Verdana" w:eastAsia="Times New Roman" w:hAnsi="Verdana"/>
      <w:sz w:val="20"/>
      <w:szCs w:val="16"/>
      <w:lang w:val="pl-PL" w:eastAsia="ar-SA"/>
    </w:rPr>
  </w:style>
  <w:style w:type="paragraph" w:styleId="Legenda">
    <w:name w:val="caption"/>
    <w:aliases w:val="legenda"/>
    <w:basedOn w:val="Normalny"/>
    <w:next w:val="Normalny"/>
    <w:autoRedefine/>
    <w:qFormat/>
    <w:rsid w:val="00710E0C"/>
    <w:pPr>
      <w:keepNext/>
      <w:keepLines/>
      <w:suppressAutoHyphens/>
      <w:spacing w:before="60" w:after="180"/>
      <w:ind w:left="1276" w:hanging="709"/>
      <w:jc w:val="center"/>
    </w:pPr>
    <w:rPr>
      <w:i/>
      <w:lang w:val="pl-PL" w:eastAsia="pl-PL"/>
    </w:rPr>
  </w:style>
  <w:style w:type="paragraph" w:customStyle="1" w:styleId="tabelanaglowek">
    <w:name w:val="tabela_naglowek"/>
    <w:basedOn w:val="Normalny"/>
    <w:autoRedefine/>
    <w:rsid w:val="00710E0C"/>
    <w:pPr>
      <w:suppressAutoHyphens/>
      <w:spacing w:before="60" w:after="60"/>
    </w:pPr>
    <w:rPr>
      <w:rFonts w:eastAsia="Times New Roman"/>
      <w:b/>
      <w:bCs/>
      <w:szCs w:val="20"/>
      <w:lang w:val="pl-PL"/>
    </w:rPr>
  </w:style>
  <w:style w:type="paragraph" w:customStyle="1" w:styleId="numeracja">
    <w:name w:val="numeracja"/>
    <w:basedOn w:val="Normalny"/>
    <w:rsid w:val="00710E0C"/>
    <w:pPr>
      <w:numPr>
        <w:numId w:val="25"/>
      </w:numPr>
      <w:suppressAutoHyphens/>
      <w:spacing w:before="60" w:after="60"/>
      <w:jc w:val="both"/>
    </w:pPr>
    <w:rPr>
      <w:rFonts w:eastAsia="Times New Roman"/>
      <w:sz w:val="24"/>
      <w:lang w:val="pl-PL"/>
    </w:rPr>
  </w:style>
  <w:style w:type="paragraph" w:styleId="Tekstdymka">
    <w:name w:val="Balloon Text"/>
    <w:basedOn w:val="Normalny"/>
    <w:link w:val="TekstdymkaZnak"/>
    <w:uiPriority w:val="99"/>
    <w:semiHidden/>
    <w:unhideWhenUsed/>
    <w:rsid w:val="00710E0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10E0C"/>
    <w:rPr>
      <w:rFonts w:ascii="Tahoma" w:hAnsi="Tahoma" w:cs="Tahoma"/>
      <w:sz w:val="16"/>
      <w:szCs w:val="16"/>
      <w:lang w:val="en-GB"/>
    </w:rPr>
  </w:style>
  <w:style w:type="paragraph" w:styleId="Bezodstpw">
    <w:name w:val="No Spacing"/>
    <w:link w:val="BezodstpwZnak"/>
    <w:uiPriority w:val="1"/>
    <w:qFormat/>
    <w:rsid w:val="00F66139"/>
    <w:rPr>
      <w:rFonts w:eastAsia="Times New Roman"/>
      <w:sz w:val="22"/>
      <w:szCs w:val="22"/>
      <w:lang w:eastAsia="en-US"/>
    </w:rPr>
  </w:style>
  <w:style w:type="character" w:customStyle="1" w:styleId="BezodstpwZnak">
    <w:name w:val="Bez odstępów Znak"/>
    <w:link w:val="Bezodstpw"/>
    <w:uiPriority w:val="1"/>
    <w:rsid w:val="00F66139"/>
    <w:rPr>
      <w:rFonts w:eastAsia="Times New Roman"/>
      <w:sz w:val="22"/>
      <w:szCs w:val="22"/>
      <w:lang w:val="pl-PL" w:eastAsia="en-US" w:bidi="ar-SA"/>
    </w:rPr>
  </w:style>
  <w:style w:type="character" w:styleId="Odwoaniedokomentarza">
    <w:name w:val="annotation reference"/>
    <w:uiPriority w:val="99"/>
    <w:semiHidden/>
    <w:unhideWhenUsed/>
    <w:rsid w:val="007F4AAF"/>
    <w:rPr>
      <w:sz w:val="16"/>
      <w:szCs w:val="16"/>
    </w:rPr>
  </w:style>
  <w:style w:type="paragraph" w:styleId="Tekstkomentarza">
    <w:name w:val="annotation text"/>
    <w:basedOn w:val="Normalny"/>
    <w:link w:val="TekstkomentarzaZnak"/>
    <w:uiPriority w:val="99"/>
    <w:semiHidden/>
    <w:unhideWhenUsed/>
    <w:rsid w:val="007F4AAF"/>
    <w:pPr>
      <w:spacing w:line="240" w:lineRule="auto"/>
    </w:pPr>
    <w:rPr>
      <w:sz w:val="20"/>
      <w:szCs w:val="20"/>
    </w:rPr>
  </w:style>
  <w:style w:type="character" w:customStyle="1" w:styleId="TekstkomentarzaZnak">
    <w:name w:val="Tekst komentarza Znak"/>
    <w:link w:val="Tekstkomentarza"/>
    <w:uiPriority w:val="99"/>
    <w:semiHidden/>
    <w:rsid w:val="007F4AAF"/>
    <w:rPr>
      <w:sz w:val="20"/>
      <w:szCs w:val="20"/>
      <w:lang w:val="en-GB"/>
    </w:rPr>
  </w:style>
  <w:style w:type="paragraph" w:styleId="Tematkomentarza">
    <w:name w:val="annotation subject"/>
    <w:basedOn w:val="Tekstkomentarza"/>
    <w:next w:val="Tekstkomentarza"/>
    <w:link w:val="TematkomentarzaZnak"/>
    <w:uiPriority w:val="99"/>
    <w:semiHidden/>
    <w:unhideWhenUsed/>
    <w:rsid w:val="007F4AAF"/>
    <w:rPr>
      <w:b/>
      <w:bCs/>
    </w:rPr>
  </w:style>
  <w:style w:type="character" w:customStyle="1" w:styleId="TematkomentarzaZnak">
    <w:name w:val="Temat komentarza Znak"/>
    <w:link w:val="Tematkomentarza"/>
    <w:uiPriority w:val="99"/>
    <w:semiHidden/>
    <w:rsid w:val="007F4AAF"/>
    <w:rPr>
      <w:b/>
      <w:bCs/>
      <w:sz w:val="20"/>
      <w:szCs w:val="20"/>
      <w:lang w:val="en-GB"/>
    </w:rPr>
  </w:style>
  <w:style w:type="paragraph" w:styleId="Mapadokumentu">
    <w:name w:val="Document Map"/>
    <w:basedOn w:val="Normalny"/>
    <w:link w:val="MapadokumentuZnak"/>
    <w:uiPriority w:val="99"/>
    <w:semiHidden/>
    <w:unhideWhenUsed/>
    <w:rsid w:val="00746A3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46A3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pec.org/jEnterprise2010/" TargetMode="Externa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3347</Words>
  <Characters>20082</Characters>
  <Application>Microsoft Office Word</Application>
  <DocSecurity>0</DocSecurity>
  <Lines>167</Lines>
  <Paragraphs>46</Paragraphs>
  <ScaleCrop>false</ScaleCrop>
  <Company/>
  <LinksUpToDate>false</LinksUpToDate>
  <CharactersWithSpaces>23383</CharactersWithSpaces>
  <SharedDoc>false</SharedDoc>
  <HLinks>
    <vt:vector size="60" baseType="variant">
      <vt:variant>
        <vt:i4>86</vt:i4>
      </vt:variant>
      <vt:variant>
        <vt:i4>60</vt:i4>
      </vt:variant>
      <vt:variant>
        <vt:i4>0</vt:i4>
      </vt:variant>
      <vt:variant>
        <vt:i4>5</vt:i4>
      </vt:variant>
      <vt:variant>
        <vt:lpwstr>http://www.spec.org/jEnterprise2010/</vt:lpwstr>
      </vt:variant>
      <vt:variant>
        <vt:lpwstr/>
      </vt:variant>
      <vt:variant>
        <vt:i4>1114166</vt:i4>
      </vt:variant>
      <vt:variant>
        <vt:i4>50</vt:i4>
      </vt:variant>
      <vt:variant>
        <vt:i4>0</vt:i4>
      </vt:variant>
      <vt:variant>
        <vt:i4>5</vt:i4>
      </vt:variant>
      <vt:variant>
        <vt:lpwstr/>
      </vt:variant>
      <vt:variant>
        <vt:lpwstr>_Toc354753478</vt:lpwstr>
      </vt:variant>
      <vt:variant>
        <vt:i4>1114166</vt:i4>
      </vt:variant>
      <vt:variant>
        <vt:i4>44</vt:i4>
      </vt:variant>
      <vt:variant>
        <vt:i4>0</vt:i4>
      </vt:variant>
      <vt:variant>
        <vt:i4>5</vt:i4>
      </vt:variant>
      <vt:variant>
        <vt:lpwstr/>
      </vt:variant>
      <vt:variant>
        <vt:lpwstr>_Toc354753477</vt:lpwstr>
      </vt:variant>
      <vt:variant>
        <vt:i4>1114166</vt:i4>
      </vt:variant>
      <vt:variant>
        <vt:i4>38</vt:i4>
      </vt:variant>
      <vt:variant>
        <vt:i4>0</vt:i4>
      </vt:variant>
      <vt:variant>
        <vt:i4>5</vt:i4>
      </vt:variant>
      <vt:variant>
        <vt:lpwstr/>
      </vt:variant>
      <vt:variant>
        <vt:lpwstr>_Toc354753476</vt:lpwstr>
      </vt:variant>
      <vt:variant>
        <vt:i4>1114166</vt:i4>
      </vt:variant>
      <vt:variant>
        <vt:i4>32</vt:i4>
      </vt:variant>
      <vt:variant>
        <vt:i4>0</vt:i4>
      </vt:variant>
      <vt:variant>
        <vt:i4>5</vt:i4>
      </vt:variant>
      <vt:variant>
        <vt:lpwstr/>
      </vt:variant>
      <vt:variant>
        <vt:lpwstr>_Toc354753475</vt:lpwstr>
      </vt:variant>
      <vt:variant>
        <vt:i4>1114166</vt:i4>
      </vt:variant>
      <vt:variant>
        <vt:i4>26</vt:i4>
      </vt:variant>
      <vt:variant>
        <vt:i4>0</vt:i4>
      </vt:variant>
      <vt:variant>
        <vt:i4>5</vt:i4>
      </vt:variant>
      <vt:variant>
        <vt:lpwstr/>
      </vt:variant>
      <vt:variant>
        <vt:lpwstr>_Toc354753474</vt:lpwstr>
      </vt:variant>
      <vt:variant>
        <vt:i4>1114166</vt:i4>
      </vt:variant>
      <vt:variant>
        <vt:i4>20</vt:i4>
      </vt:variant>
      <vt:variant>
        <vt:i4>0</vt:i4>
      </vt:variant>
      <vt:variant>
        <vt:i4>5</vt:i4>
      </vt:variant>
      <vt:variant>
        <vt:lpwstr/>
      </vt:variant>
      <vt:variant>
        <vt:lpwstr>_Toc354753473</vt:lpwstr>
      </vt:variant>
      <vt:variant>
        <vt:i4>1114166</vt:i4>
      </vt:variant>
      <vt:variant>
        <vt:i4>14</vt:i4>
      </vt:variant>
      <vt:variant>
        <vt:i4>0</vt:i4>
      </vt:variant>
      <vt:variant>
        <vt:i4>5</vt:i4>
      </vt:variant>
      <vt:variant>
        <vt:lpwstr/>
      </vt:variant>
      <vt:variant>
        <vt:lpwstr>_Toc354753472</vt:lpwstr>
      </vt:variant>
      <vt:variant>
        <vt:i4>1114166</vt:i4>
      </vt:variant>
      <vt:variant>
        <vt:i4>8</vt:i4>
      </vt:variant>
      <vt:variant>
        <vt:i4>0</vt:i4>
      </vt:variant>
      <vt:variant>
        <vt:i4>5</vt:i4>
      </vt:variant>
      <vt:variant>
        <vt:lpwstr/>
      </vt:variant>
      <vt:variant>
        <vt:lpwstr>_Toc354753471</vt:lpwstr>
      </vt:variant>
      <vt:variant>
        <vt:i4>1114166</vt:i4>
      </vt:variant>
      <vt:variant>
        <vt:i4>2</vt:i4>
      </vt:variant>
      <vt:variant>
        <vt:i4>0</vt:i4>
      </vt:variant>
      <vt:variant>
        <vt:i4>5</vt:i4>
      </vt:variant>
      <vt:variant>
        <vt:lpwstr/>
      </vt:variant>
      <vt:variant>
        <vt:lpwstr>_Toc354753470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2016-09-26T11:18:00Z</dcterms:created>
  <dcterms:modified xsi:type="dcterms:W3CDTF">2017-03-21T20:10:00Z</dcterms:modified>
</cp:coreProperties>
</file>