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2" w:rsidRPr="00040247" w:rsidRDefault="00CC1C77" w:rsidP="00884030">
      <w:pPr>
        <w:jc w:val="right"/>
        <w:rPr>
          <w:i/>
          <w:sz w:val="24"/>
          <w:szCs w:val="24"/>
        </w:rPr>
      </w:pPr>
      <w:r w:rsidRPr="00511C63">
        <w:rPr>
          <w:i/>
          <w:sz w:val="24"/>
          <w:szCs w:val="24"/>
        </w:rPr>
        <w:t>Z</w:t>
      </w:r>
      <w:r w:rsidR="00910C42" w:rsidRPr="00511C63">
        <w:rPr>
          <w:i/>
          <w:sz w:val="24"/>
          <w:szCs w:val="24"/>
        </w:rPr>
        <w:t xml:space="preserve">ałącznik nr </w:t>
      </w:r>
      <w:r w:rsidR="00C05CD4">
        <w:rPr>
          <w:i/>
          <w:sz w:val="24"/>
          <w:szCs w:val="24"/>
        </w:rPr>
        <w:t>1</w:t>
      </w:r>
      <w:r w:rsidR="00910C42" w:rsidRPr="00511C63">
        <w:rPr>
          <w:i/>
          <w:sz w:val="24"/>
          <w:szCs w:val="24"/>
        </w:rPr>
        <w:t xml:space="preserve"> do </w:t>
      </w:r>
      <w:r w:rsidR="00C05CD4">
        <w:rPr>
          <w:i/>
          <w:sz w:val="24"/>
          <w:szCs w:val="24"/>
        </w:rPr>
        <w:t>formularza ofertowego</w:t>
      </w:r>
    </w:p>
    <w:p w:rsidR="00910C42" w:rsidRPr="00100582" w:rsidRDefault="00CF76F2" w:rsidP="000B7D60">
      <w: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 style="mso-next-textbox:#Prostokąt zaokrąglony 1">
              <w:txbxContent>
                <w:p w:rsidR="00C03080" w:rsidRDefault="00C03080" w:rsidP="00910C42">
                  <w:pPr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jc w:val="center"/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BE3522" w:rsidRPr="00100582" w:rsidRDefault="00BE3522" w:rsidP="000B7D60"/>
    <w:p w:rsidR="00AF2AB4" w:rsidRDefault="00AF2AB4" w:rsidP="000B7D60">
      <w:pPr>
        <w:jc w:val="center"/>
        <w:rPr>
          <w:b/>
          <w:sz w:val="24"/>
          <w:szCs w:val="24"/>
        </w:rPr>
      </w:pPr>
    </w:p>
    <w:p w:rsidR="00AF2AB4" w:rsidRDefault="00AF2AB4" w:rsidP="00040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TECHNICZNY</w:t>
      </w:r>
    </w:p>
    <w:p w:rsidR="00F24D36" w:rsidRPr="00100582" w:rsidRDefault="00F24D36" w:rsidP="00040247">
      <w:pPr>
        <w:jc w:val="center"/>
        <w:rPr>
          <w:b/>
          <w:sz w:val="24"/>
          <w:szCs w:val="24"/>
        </w:rPr>
      </w:pPr>
      <w:r w:rsidRPr="00100582">
        <w:rPr>
          <w:b/>
          <w:sz w:val="24"/>
          <w:szCs w:val="24"/>
        </w:rPr>
        <w:t>Parametry techniczne sprzętu</w:t>
      </w:r>
      <w:r w:rsidR="00E87B71">
        <w:rPr>
          <w:b/>
          <w:sz w:val="24"/>
          <w:szCs w:val="24"/>
        </w:rPr>
        <w:t xml:space="preserve"> </w:t>
      </w:r>
      <w:r w:rsidRPr="00100582">
        <w:rPr>
          <w:b/>
          <w:sz w:val="24"/>
          <w:szCs w:val="24"/>
        </w:rPr>
        <w:t xml:space="preserve"> oferowanego przez Wykonawcę</w:t>
      </w:r>
      <w:r w:rsidR="005416B8" w:rsidRPr="00100582">
        <w:rPr>
          <w:b/>
          <w:sz w:val="24"/>
          <w:szCs w:val="24"/>
        </w:rPr>
        <w:t xml:space="preserve"> </w:t>
      </w:r>
    </w:p>
    <w:p w:rsidR="005A5F80" w:rsidRDefault="005A5F80" w:rsidP="00040247">
      <w:pPr>
        <w:jc w:val="center"/>
      </w:pPr>
      <w:bookmarkStart w:id="0" w:name="_Toc303273214"/>
      <w:bookmarkStart w:id="1" w:name="_Toc304899239"/>
      <w:bookmarkStart w:id="2" w:name="_Toc306175619"/>
    </w:p>
    <w:p w:rsidR="00836129" w:rsidRDefault="00836129" w:rsidP="00040247">
      <w:pPr>
        <w:jc w:val="center"/>
      </w:pPr>
    </w:p>
    <w:p w:rsidR="00836129" w:rsidRDefault="00836129" w:rsidP="00040247">
      <w:pPr>
        <w:spacing w:before="120" w:after="120" w:line="360" w:lineRule="auto"/>
        <w:ind w:left="357"/>
        <w:jc w:val="center"/>
        <w:rPr>
          <w:sz w:val="24"/>
          <w:szCs w:val="24"/>
        </w:rPr>
      </w:pPr>
      <w:r w:rsidRPr="00126194">
        <w:rPr>
          <w:sz w:val="24"/>
          <w:szCs w:val="24"/>
        </w:rPr>
        <w:t>Wykonawca zobowiązany jest do wypełnienia kolumny nr 4 oraz podania nazwy, modelu i wersji produktów.</w:t>
      </w:r>
    </w:p>
    <w:bookmarkEnd w:id="0"/>
    <w:bookmarkEnd w:id="1"/>
    <w:bookmarkEnd w:id="2"/>
    <w:p w:rsidR="009934DA" w:rsidRDefault="009934DA" w:rsidP="00DF0DB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:rsidR="00685C1A" w:rsidRDefault="00DB3674" w:rsidP="009934DA">
      <w:pPr>
        <w:tabs>
          <w:tab w:val="left" w:pos="284"/>
        </w:tabs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Odbiornik satelitarny</w:t>
      </w:r>
      <w:r w:rsidR="00126194" w:rsidRPr="00D75E6F">
        <w:rPr>
          <w:b/>
          <w:sz w:val="24"/>
          <w:szCs w:val="24"/>
        </w:rPr>
        <w:t xml:space="preserve"> </w:t>
      </w:r>
      <w:r w:rsidR="00E14817" w:rsidRPr="00D75E6F">
        <w:rPr>
          <w:b/>
          <w:sz w:val="24"/>
          <w:szCs w:val="24"/>
        </w:rPr>
        <w:t xml:space="preserve"> …………………., model …………………………</w:t>
      </w:r>
      <w:r w:rsidR="00E87B71">
        <w:rPr>
          <w:b/>
          <w:sz w:val="24"/>
          <w:szCs w:val="24"/>
        </w:rPr>
        <w:t xml:space="preserve">   1</w:t>
      </w:r>
      <w:r w:rsidR="00C03080">
        <w:rPr>
          <w:b/>
          <w:sz w:val="24"/>
          <w:szCs w:val="24"/>
        </w:rPr>
        <w:t>2</w:t>
      </w:r>
      <w:r w:rsidR="00CF00CE">
        <w:rPr>
          <w:b/>
          <w:sz w:val="24"/>
          <w:szCs w:val="24"/>
        </w:rPr>
        <w:t xml:space="preserve"> szt.</w:t>
      </w:r>
      <w:r w:rsidR="00E87B71">
        <w:rPr>
          <w:b/>
          <w:sz w:val="24"/>
          <w:szCs w:val="24"/>
        </w:rPr>
        <w:t>,  kod IGS ……………………………………...</w:t>
      </w:r>
      <w:r w:rsidR="00685C1A" w:rsidRPr="00D75E6F">
        <w:rPr>
          <w:b/>
          <w:sz w:val="24"/>
          <w:szCs w:val="24"/>
        </w:rPr>
        <w:t xml:space="preserve">; </w:t>
      </w:r>
    </w:p>
    <w:p w:rsidR="000610C0" w:rsidRDefault="00DB3674" w:rsidP="000610C0">
      <w:pPr>
        <w:spacing w:before="240" w:after="120"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Antena GNSS …………………….. model ………………………………...</w:t>
      </w:r>
      <w:r w:rsidR="00C03080">
        <w:rPr>
          <w:b/>
          <w:sz w:val="24"/>
          <w:szCs w:val="24"/>
        </w:rPr>
        <w:t xml:space="preserve"> 12</w:t>
      </w:r>
      <w:r w:rsidR="00CF00CE">
        <w:rPr>
          <w:b/>
          <w:sz w:val="24"/>
          <w:szCs w:val="24"/>
        </w:rPr>
        <w:t xml:space="preserve"> szt.</w:t>
      </w:r>
      <w:r w:rsidR="00E87B71">
        <w:rPr>
          <w:b/>
          <w:sz w:val="24"/>
          <w:szCs w:val="24"/>
        </w:rPr>
        <w:t>,  kod IGS ………………………………………</w:t>
      </w:r>
      <w:r>
        <w:rPr>
          <w:b/>
          <w:sz w:val="24"/>
          <w:szCs w:val="24"/>
        </w:rPr>
        <w:t>;</w:t>
      </w:r>
    </w:p>
    <w:p w:rsidR="00DB0A93" w:rsidRPr="00DB0A93" w:rsidRDefault="00DB0A93" w:rsidP="000610C0">
      <w:pPr>
        <w:spacing w:before="240" w:after="120" w:line="360" w:lineRule="auto"/>
        <w:ind w:left="284"/>
        <w:rPr>
          <w:sz w:val="24"/>
          <w:szCs w:val="24"/>
        </w:rPr>
      </w:pPr>
      <w:r w:rsidRPr="00DB0A93">
        <w:rPr>
          <w:sz w:val="24"/>
          <w:szCs w:val="24"/>
        </w:rPr>
        <w:t>Tabela 1.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2779"/>
        <w:gridCol w:w="5529"/>
        <w:gridCol w:w="5244"/>
      </w:tblGrid>
      <w:tr w:rsidR="000610C0" w:rsidRPr="0088065E" w:rsidTr="000610C0">
        <w:trPr>
          <w:trHeight w:hRule="exact" w:val="1631"/>
          <w:tblHeader/>
        </w:trPr>
        <w:tc>
          <w:tcPr>
            <w:tcW w:w="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77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E6E6E6"/>
          </w:tcPr>
          <w:p w:rsidR="000610C0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CF00CE">
              <w:rPr>
                <w:rFonts w:ascii="Times New Roman" w:hAnsi="Times New Roman"/>
                <w:bCs/>
                <w:color w:val="000000"/>
                <w:szCs w:val="22"/>
              </w:rPr>
              <w:t>Parametry techniczne sprzętu oferowanego przez Wykonawcę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</w:p>
          <w:p w:rsidR="000610C0" w:rsidRPr="0088065E" w:rsidRDefault="000610C0" w:rsidP="00E87B71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/Zamawiający wymaga, aby Wykonawca wskazał konkretne parametry o</w:t>
            </w:r>
            <w:r w:rsidR="00E87B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ferowanego przez siebie sprzętu.</w:t>
            </w: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0DB8" w:rsidRPr="0088065E" w:rsidTr="00DF0DB8">
        <w:trPr>
          <w:trHeight w:val="301"/>
        </w:trPr>
        <w:tc>
          <w:tcPr>
            <w:tcW w:w="623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1</w:t>
            </w:r>
          </w:p>
        </w:tc>
        <w:tc>
          <w:tcPr>
            <w:tcW w:w="277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3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4</w:t>
            </w:r>
          </w:p>
        </w:tc>
      </w:tr>
      <w:tr w:rsidR="000610C0" w:rsidRPr="0088065E" w:rsidTr="000610C0">
        <w:tc>
          <w:tcPr>
            <w:tcW w:w="1417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7A4A92" w:rsidRPr="003F0171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5529" w:type="dxa"/>
          </w:tcPr>
          <w:p w:rsidR="007A4A92" w:rsidRPr="00EF16FA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 xml:space="preserve">GPS NAVSTAR </w:t>
            </w:r>
            <w:r w:rsidRPr="00CF7864">
              <w:rPr>
                <w:rFonts w:ascii="Times New Roman" w:hAnsi="Times New Roman"/>
                <w:i w:val="0"/>
                <w:szCs w:val="22"/>
                <w:lang w:val="es-ES"/>
              </w:rPr>
              <w:t>(L1, L2, L5)</w:t>
            </w: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>, GLONASS (L1, L2), GALILEO (L1, E5a, E5b), EGNOS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, Beidou (B1, B2)</w:t>
            </w:r>
          </w:p>
        </w:tc>
        <w:tc>
          <w:tcPr>
            <w:tcW w:w="5244" w:type="dxa"/>
          </w:tcPr>
          <w:p w:rsidR="007A4A92" w:rsidRPr="00EF16FA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Śledzone sygnały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GPS: L1,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L2C,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L5,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 P(Y) – 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możliwoś</w:t>
            </w:r>
            <w:r>
              <w:rPr>
                <w:rFonts w:ascii="Times New Roman" w:hAnsi="Times New Roman"/>
                <w:i w:val="0"/>
                <w:szCs w:val="22"/>
              </w:rPr>
              <w:t>cią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matematycznego dekodowania kodu precyzyjnego P w </w:t>
            </w: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przypadku włączenia systemu zakłóceń aktywnych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AS,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461B3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461B3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461B3">
              <w:rPr>
                <w:rFonts w:ascii="Times New Roman" w:hAnsi="Times New Roman"/>
                <w:i w:val="0"/>
                <w:szCs w:val="22"/>
              </w:rPr>
              <w:t>GLONASS: L1 C/A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L2C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L1P lub L2P</w:t>
            </w:r>
            <w:r w:rsidRPr="004C7E13">
              <w:rPr>
                <w:rFonts w:ascii="Times New Roman" w:hAnsi="Times New Roman"/>
                <w:i w:val="0"/>
                <w:szCs w:val="22"/>
              </w:rPr>
              <w:t>;</w:t>
            </w:r>
          </w:p>
        </w:tc>
        <w:tc>
          <w:tcPr>
            <w:tcW w:w="5244" w:type="dxa"/>
          </w:tcPr>
          <w:p w:rsidR="00C03080" w:rsidRPr="008461B3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3F0171" w:rsidTr="000610C0">
        <w:tc>
          <w:tcPr>
            <w:tcW w:w="623" w:type="dxa"/>
            <w:vMerge/>
          </w:tcPr>
          <w:p w:rsidR="00C03080" w:rsidRPr="008461B3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461B3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9963C8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8C671F">
              <w:rPr>
                <w:rFonts w:ascii="Times New Roman" w:hAnsi="Times New Roman"/>
                <w:i w:val="0"/>
                <w:szCs w:val="22"/>
                <w:lang w:val="en-US"/>
              </w:rPr>
              <w:t>GALILEO: L1 (E1), E5a, , E5a+b (AltBOC),</w:t>
            </w:r>
          </w:p>
        </w:tc>
        <w:tc>
          <w:tcPr>
            <w:tcW w:w="5244" w:type="dxa"/>
          </w:tcPr>
          <w:p w:rsidR="00C03080" w:rsidRP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2779" w:type="dxa"/>
            <w:vMerge/>
          </w:tcPr>
          <w:p w:rsidR="00C03080" w:rsidRP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5529" w:type="dxa"/>
          </w:tcPr>
          <w:p w:rsidR="00C03080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92709">
              <w:rPr>
                <w:rFonts w:ascii="Times New Roman" w:hAnsi="Times New Roman"/>
                <w:i w:val="0"/>
                <w:szCs w:val="22"/>
              </w:rPr>
              <w:t>Beidou: B1, B2,</w:t>
            </w:r>
          </w:p>
        </w:tc>
        <w:tc>
          <w:tcPr>
            <w:tcW w:w="5244" w:type="dxa"/>
          </w:tcPr>
          <w:p w:rsidR="00C03080" w:rsidRPr="00492709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FF0CB3">
              <w:rPr>
                <w:rFonts w:ascii="Times New Roman" w:hAnsi="Times New Roman"/>
                <w:i w:val="0"/>
                <w:szCs w:val="22"/>
              </w:rPr>
              <w:t>Możliwość równoczesnego śledzenia sygnałów na trzech częstotliwościach z satelitów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GPS.  </w:t>
            </w:r>
          </w:p>
        </w:tc>
        <w:tc>
          <w:tcPr>
            <w:tcW w:w="5244" w:type="dxa"/>
          </w:tcPr>
          <w:p w:rsidR="00C03080" w:rsidRPr="00492709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FF0CB3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400 kanałów do śledzenia sygnałów GNSS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rPr>
          <w:trHeight w:val="1196"/>
        </w:trPr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Porty komunikacyjne</w:t>
            </w:r>
          </w:p>
        </w:tc>
        <w:tc>
          <w:tcPr>
            <w:tcW w:w="5529" w:type="dxa"/>
          </w:tcPr>
          <w:p w:rsidR="000610C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Przynajmniej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oddzielny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port </w:t>
            </w:r>
            <w:r>
              <w:rPr>
                <w:rFonts w:ascii="Times New Roman" w:hAnsi="Times New Roman"/>
                <w:i w:val="0"/>
                <w:szCs w:val="22"/>
              </w:rPr>
              <w:t>komunikacyjny szeregowy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(</w:t>
            </w:r>
            <w:r>
              <w:rPr>
                <w:rFonts w:ascii="Times New Roman" w:hAnsi="Times New Roman"/>
                <w:i w:val="0"/>
                <w:szCs w:val="22"/>
              </w:rPr>
              <w:t xml:space="preserve">gniazdo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Lemo lub inny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)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 komunikacji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dwukierunkow</w:t>
            </w:r>
            <w:r>
              <w:rPr>
                <w:rFonts w:ascii="Times New Roman" w:hAnsi="Times New Roman"/>
                <w:i w:val="0"/>
                <w:szCs w:val="22"/>
              </w:rPr>
              <w:t>ej wbudowany w obudowę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Dla każdego portu należy dostarczyć co najmniej jeden kabel transmisyjny o długości od 1,0 do 2,0 m zakończony złączem </w:t>
            </w:r>
            <w:r w:rsidRPr="00CF7864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zapewniający pełne wykorzystanie portu.</w:t>
            </w:r>
          </w:p>
        </w:tc>
        <w:tc>
          <w:tcPr>
            <w:tcW w:w="5244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 Ethernet</w:t>
            </w:r>
          </w:p>
        </w:tc>
        <w:tc>
          <w:tcPr>
            <w:tcW w:w="5529" w:type="dxa"/>
          </w:tcPr>
          <w:p w:rsidR="000610C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jedno gniazdo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492709">
              <w:rPr>
                <w:rFonts w:ascii="Times New Roman" w:hAnsi="Times New Roman"/>
                <w:i w:val="0"/>
                <w:szCs w:val="22"/>
              </w:rPr>
              <w:t xml:space="preserve">RJ45 </w:t>
            </w:r>
            <w:r w:rsidRPr="00492709">
              <w:rPr>
                <w:rFonts w:ascii="Times New Roman" w:eastAsia="Lucida Sans Unicode" w:hAnsi="Times New Roman"/>
                <w:i w:val="0"/>
                <w:szCs w:val="22"/>
              </w:rPr>
              <w:t>realizujące interfejs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Ethernet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. Zamawiający d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opuszcza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inn</w:t>
            </w:r>
            <w:r>
              <w:rPr>
                <w:rFonts w:ascii="Times New Roman" w:hAnsi="Times New Roman"/>
                <w:i w:val="0"/>
                <w:szCs w:val="22"/>
              </w:rPr>
              <w:t>y typ gniazda realizującego interfejs Ethernet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tylko w przypadku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gdy oferowany typ złącza ma parametry techniczne takie same lub lepsze jak typ złącza RJ45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. Wykonawca dostarczy co najmniej jeden kabel umożliwiający podłączenie portu Ethernet odbiornika do gniazda RJ45 w urządzeniu zewnętrznym (np. router).Nie dopuszcza się wykorzystania jednego z portów szeregowych jako gniazda Ethernet.</w:t>
            </w:r>
          </w:p>
        </w:tc>
        <w:tc>
          <w:tcPr>
            <w:tcW w:w="5244" w:type="dxa"/>
          </w:tcPr>
          <w:p w:rsidR="000610C0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Pamięć wewnętrzna odbiornika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Min</w:t>
            </w:r>
            <w:r>
              <w:rPr>
                <w:rFonts w:ascii="Times New Roman" w:hAnsi="Times New Roman"/>
                <w:i w:val="0"/>
                <w:szCs w:val="22"/>
              </w:rPr>
              <w:t>imum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GB pamięci wewnętrznej przeznaczonej do zapisu obserwacji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Pamięć odbiornika może być realizowana jako zamontowana w odbiorniku </w:t>
            </w:r>
            <w:r w:rsidRPr="008B5567">
              <w:rPr>
                <w:rFonts w:ascii="Times New Roman" w:hAnsi="Times New Roman"/>
                <w:i w:val="0"/>
                <w:szCs w:val="22"/>
              </w:rPr>
              <w:t>karta pamięci</w:t>
            </w:r>
            <w:r>
              <w:rPr>
                <w:rFonts w:ascii="Times New Roman" w:hAnsi="Times New Roman"/>
                <w:i w:val="0"/>
                <w:szCs w:val="22"/>
              </w:rPr>
              <w:t>, natomiast nie może być realizowana jako pamięć zewnętrzna (dysk zewnętrzny, pendrive, itp) podpięta do portu USB,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rPr>
          <w:trHeight w:val="592"/>
        </w:trPr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n</w:t>
            </w:r>
            <w:r w:rsidRPr="0088065E">
              <w:rPr>
                <w:rFonts w:ascii="Times New Roman" w:hAnsi="Times New Roman"/>
                <w:i w:val="0"/>
                <w:szCs w:val="22"/>
              </w:rPr>
              <w:t>adpisywani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 obserwacyjnych w przypadku zapełnienia pamięci lub po określonym czasie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</w:t>
            </w:r>
            <w:r w:rsidRPr="0088065E">
              <w:rPr>
                <w:rFonts w:ascii="Times New Roman" w:hAnsi="Times New Roman"/>
                <w:i w:val="0"/>
                <w:szCs w:val="22"/>
              </w:rPr>
              <w:t>ejestracj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rejestracji obserwacji w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interwałach  1, 5, 30 i 60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s</w:t>
            </w:r>
            <w:r>
              <w:rPr>
                <w:rFonts w:ascii="Times New Roman" w:hAnsi="Times New Roman"/>
                <w:i w:val="0"/>
                <w:szCs w:val="22"/>
              </w:rPr>
              <w:t>ek,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C7E13">
              <w:rPr>
                <w:rFonts w:ascii="Times New Roman" w:hAnsi="Times New Roman"/>
                <w:i w:val="0"/>
                <w:szCs w:val="22"/>
              </w:rPr>
              <w:t>Zapis w formacie RINEX V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3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>02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formacie binarnym producenta.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K</w:t>
            </w:r>
            <w:r w:rsidRPr="004C7E13">
              <w:rPr>
                <w:rFonts w:ascii="Times New Roman" w:hAnsi="Times New Roman"/>
                <w:i w:val="0"/>
                <w:szCs w:val="22"/>
              </w:rPr>
              <w:t>onwersja do pliku RINE</w:t>
            </w:r>
            <w:r>
              <w:rPr>
                <w:rFonts w:ascii="Times New Roman" w:hAnsi="Times New Roman"/>
                <w:i w:val="0"/>
                <w:szCs w:val="22"/>
              </w:rPr>
              <w:t>X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z binarnego formatu producenta za pomocą strony internetowej odbiornika.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ustawienia długości zapisywanych plików co najmniej jako pliki jedno- i 24-godzinne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7A4A92">
        <w:trPr>
          <w:trHeight w:val="623"/>
        </w:trPr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zdalnego pobrania plików obserwacyjnych za pomocą łącza Ethernet.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7A4A92">
        <w:trPr>
          <w:trHeight w:val="622"/>
        </w:trPr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automatycznego wysyłania plików obserwacyjnych zarejestrowanych w odbiorniku na wskazany serwer FTP.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Praca w trybie stacji </w:t>
            </w:r>
            <w:r>
              <w:rPr>
                <w:rFonts w:ascii="Times New Roman" w:hAnsi="Times New Roman"/>
                <w:i w:val="0"/>
                <w:szCs w:val="22"/>
              </w:rPr>
              <w:t>referencyjnej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Generowanie strumieni danych obserwacyjnych w formacie RTCM </w:t>
            </w:r>
            <w:r>
              <w:rPr>
                <w:rFonts w:ascii="Times New Roman" w:hAnsi="Times New Roman"/>
                <w:i w:val="0"/>
                <w:szCs w:val="22"/>
              </w:rPr>
              <w:t>10403.2, BINEX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oraz RAW (surowym producenta odbiornika) i udostępnianie ich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na co najmniej 3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por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tach jako Serwer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TCP/IP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dostępnych przez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interfejs Ethernet odbiornika</w:t>
            </w:r>
            <w:r>
              <w:rPr>
                <w:rFonts w:ascii="Times New Roman" w:hAnsi="Times New Roman"/>
                <w:i w:val="0"/>
                <w:szCs w:val="22"/>
              </w:rPr>
              <w:t>. Możliwość zdefiniowania na każdym porcie innego formatu danych równocześnie,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generowania danych o statusie odbiornika w formacie NMEA 0183 (min. wiadomość GGA),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Częstotliwość wysyłania obserwacji </w:t>
            </w:r>
          </w:p>
        </w:tc>
        <w:tc>
          <w:tcPr>
            <w:tcW w:w="5529" w:type="dxa"/>
          </w:tcPr>
          <w:p w:rsidR="000610C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Możliwość konfiguracji co najmniej częstotliwości wysyłania strumienia </w:t>
            </w:r>
            <w:bookmarkStart w:id="3" w:name="_GoBack"/>
            <w:bookmarkEnd w:id="3"/>
            <w:r>
              <w:rPr>
                <w:rFonts w:ascii="Times New Roman" w:hAnsi="Times New Roman"/>
                <w:i w:val="0"/>
                <w:szCs w:val="22"/>
              </w:rPr>
              <w:t xml:space="preserve">obserwacji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1 Hz</w:t>
            </w:r>
          </w:p>
        </w:tc>
        <w:tc>
          <w:tcPr>
            <w:tcW w:w="5244" w:type="dxa"/>
          </w:tcPr>
          <w:p w:rsidR="000610C0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Dokładność statycznych pomiarów </w:t>
            </w:r>
            <w:r>
              <w:rPr>
                <w:rFonts w:ascii="Times New Roman" w:hAnsi="Times New Roman"/>
                <w:i w:val="0"/>
                <w:szCs w:val="22"/>
              </w:rPr>
              <w:t>różnicowych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poziomie: 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5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+ 0.5 ppm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pionie: 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10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ppm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552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przedziale od 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+4</w:t>
            </w:r>
            <w:r w:rsidRPr="0088065E"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 zdalnego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odbiornik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Dostępność przez przeglądarkę internetową Internet Explorer lub równoważn</w:t>
            </w:r>
            <w:r>
              <w:rPr>
                <w:rFonts w:ascii="Times New Roman" w:hAnsi="Times New Roman"/>
                <w:i w:val="0"/>
                <w:szCs w:val="22"/>
              </w:rPr>
              <w:t>ą darmową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protokół HTTP </w:t>
            </w:r>
            <w:r>
              <w:rPr>
                <w:rFonts w:ascii="Times New Roman" w:hAnsi="Times New Roman"/>
                <w:i w:val="0"/>
                <w:szCs w:val="22"/>
              </w:rPr>
              <w:t>lub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HTTPS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stawienia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za pomocą strony www parametrów pracy odbiornika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 zakresie</w:t>
            </w:r>
            <w:r>
              <w:rPr>
                <w:rFonts w:ascii="Times New Roman" w:hAnsi="Times New Roman"/>
                <w:i w:val="0"/>
                <w:szCs w:val="22"/>
              </w:rPr>
              <w:t>: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transmisji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(konfiguracja strumieni obserwacyjnych na odpowiednich portach TCP/IP)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>rejestracji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w pamięci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konfiguracji śledzonych sygnałów i satelitów, restartu odbiornika oraz instalacji </w:t>
            </w:r>
            <w:r w:rsidRPr="00904A69">
              <w:rPr>
                <w:rFonts w:ascii="Times New Roman" w:hAnsi="Times New Roman"/>
                <w:i w:val="0"/>
                <w:szCs w:val="22"/>
              </w:rPr>
              <w:t xml:space="preserve">oprogramowania odbiornika </w:t>
            </w:r>
            <w:r>
              <w:rPr>
                <w:rFonts w:ascii="Times New Roman" w:hAnsi="Times New Roman"/>
                <w:i w:val="0"/>
                <w:szCs w:val="22"/>
              </w:rPr>
              <w:t>(firmware).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Stały</w:t>
            </w:r>
            <w:r>
              <w:rPr>
                <w:rFonts w:ascii="Times New Roman" w:hAnsi="Times New Roman"/>
                <w:i w:val="0"/>
                <w:szCs w:val="22"/>
              </w:rPr>
              <w:t>, konfigurowalny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adres 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odbiornika,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7A4A92">
        <w:trPr>
          <w:trHeight w:val="293"/>
        </w:trPr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Wskaźniki pracy odbiornika lub wyświetlacz</w:t>
            </w:r>
          </w:p>
        </w:tc>
        <w:tc>
          <w:tcPr>
            <w:tcW w:w="552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Wyświetlanie za pomocą diod lub wyświetlacza podstawowych parametrów pracy takich jak np.: śledzenie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</w:t>
            </w:r>
            <w:r>
              <w:rPr>
                <w:rFonts w:ascii="Times New Roman" w:hAnsi="Times New Roman"/>
                <w:i w:val="0"/>
                <w:szCs w:val="22"/>
              </w:rPr>
              <w:t>ów, parametry zasilania.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552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Pyłoszczelna i odporna na działanie wilgoci, minimum IP </w:t>
            </w:r>
            <w:r>
              <w:rPr>
                <w:rFonts w:ascii="Times New Roman" w:hAnsi="Times New Roman"/>
                <w:i w:val="0"/>
                <w:szCs w:val="22"/>
              </w:rPr>
              <w:t>67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7A4A9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Zasilanie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zasilania </w:t>
            </w:r>
            <w:r>
              <w:rPr>
                <w:rFonts w:ascii="Times New Roman" w:hAnsi="Times New Roman"/>
                <w:i w:val="0"/>
                <w:szCs w:val="22"/>
              </w:rPr>
              <w:t>odbiornika za pomocą zasilacza sieciowego 230V.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 odbiornikiem Wykonawca dostarczy zasilacz wraz z kablami do podłączenia odbiornika. Wtyki na wejściu </w:t>
            </w:r>
            <w:r w:rsidRPr="007D4D53">
              <w:rPr>
                <w:rFonts w:ascii="Times New Roman" w:hAnsi="Times New Roman"/>
                <w:i w:val="0"/>
                <w:szCs w:val="22"/>
              </w:rPr>
              <w:t>zasilacz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7D4D53">
              <w:rPr>
                <w:rFonts w:ascii="Times New Roman" w:hAnsi="Times New Roman"/>
                <w:i w:val="0"/>
                <w:szCs w:val="22"/>
              </w:rPr>
              <w:t xml:space="preserve"> powinny być typu IEC 320 C14; dopuszcza się realizację wtyku poprzez odpowiednią przejściówkę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z oryginalnego wtyku zasilacza, w takim przypadku przejściówkę dostarcza Wykonawca,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Automatyczne </w:t>
            </w:r>
            <w:r>
              <w:rPr>
                <w:rFonts w:ascii="Times New Roman" w:hAnsi="Times New Roman"/>
                <w:i w:val="0"/>
                <w:szCs w:val="22"/>
              </w:rPr>
              <w:t>wznowienie pracy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odbiornika przy ponownym </w:t>
            </w:r>
            <w:r>
              <w:rPr>
                <w:rFonts w:ascii="Times New Roman" w:hAnsi="Times New Roman"/>
                <w:i w:val="0"/>
                <w:szCs w:val="22"/>
              </w:rPr>
              <w:t>przywróceniu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zasilania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sieciowego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, przy zachowaniu ustawień i konfiguracji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przed wystąpieni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awarii zasilania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bez udziału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osoby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obsług</w:t>
            </w:r>
            <w:r>
              <w:rPr>
                <w:rFonts w:ascii="Times New Roman" w:hAnsi="Times New Roman"/>
                <w:i w:val="0"/>
                <w:szCs w:val="22"/>
              </w:rPr>
              <w:t>ującej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stacj</w:t>
            </w:r>
            <w:r>
              <w:rPr>
                <w:rFonts w:ascii="Times New Roman" w:hAnsi="Times New Roman"/>
                <w:i w:val="0"/>
                <w:szCs w:val="22"/>
              </w:rPr>
              <w:t>ę.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rPr>
          <w:trHeight w:val="336"/>
        </w:trPr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552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Wyprodukowany w roku </w:t>
            </w:r>
            <w:r w:rsidRPr="00856EDB">
              <w:rPr>
                <w:rFonts w:ascii="Times New Roman" w:hAnsi="Times New Roman"/>
                <w:i w:val="0"/>
                <w:szCs w:val="22"/>
              </w:rPr>
              <w:t>201</w:t>
            </w:r>
            <w:r>
              <w:rPr>
                <w:rFonts w:ascii="Times New Roman" w:hAnsi="Times New Roman"/>
                <w:i w:val="0"/>
                <w:szCs w:val="22"/>
              </w:rPr>
              <w:t xml:space="preserve">6 lub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Cs w:val="22"/>
              </w:rPr>
              <w:t>17.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rPr>
          <w:trHeight w:val="336"/>
        </w:trPr>
        <w:tc>
          <w:tcPr>
            <w:tcW w:w="623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lastRenderedPageBreak/>
              <w:t>16</w:t>
            </w:r>
          </w:p>
        </w:tc>
        <w:tc>
          <w:tcPr>
            <w:tcW w:w="277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Ze względu na konieczność wykorzystania istniejącego gazowego bezpiecznika odgromowego Wykonawca dostarczy nowy dodatkowy kabel antenowy o długości 3m do połączenia odbiornika z bezpiecznikiem odgromowym (gniazdo typu N). 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17</w:t>
            </w:r>
          </w:p>
        </w:tc>
        <w:tc>
          <w:tcPr>
            <w:tcW w:w="2779" w:type="dxa"/>
          </w:tcPr>
          <w:p w:rsidR="00C03080" w:rsidRPr="007B255B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Oprogramowanie odbiornika</w:t>
            </w:r>
          </w:p>
        </w:tc>
        <w:tc>
          <w:tcPr>
            <w:tcW w:w="5529" w:type="dxa"/>
          </w:tcPr>
          <w:p w:rsidR="00C03080" w:rsidRPr="007B255B" w:rsidRDefault="00C03080" w:rsidP="00C0308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ktualizacj</w:t>
            </w: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oprogramowania wewnętrznego odbiornika przez cały okres trwania gwarancji.</w:t>
            </w:r>
          </w:p>
        </w:tc>
        <w:tc>
          <w:tcPr>
            <w:tcW w:w="5244" w:type="dxa"/>
          </w:tcPr>
          <w:p w:rsidR="00C03080" w:rsidRPr="00B360A2" w:rsidRDefault="00C03080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18</w:t>
            </w:r>
          </w:p>
        </w:tc>
        <w:tc>
          <w:tcPr>
            <w:tcW w:w="2779" w:type="dxa"/>
          </w:tcPr>
          <w:p w:rsidR="00C03080" w:rsidRPr="007B255B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Dokumentacja</w:t>
            </w:r>
          </w:p>
        </w:tc>
        <w:tc>
          <w:tcPr>
            <w:tcW w:w="5529" w:type="dxa"/>
          </w:tcPr>
          <w:p w:rsidR="00C03080" w:rsidRPr="007B255B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 xml:space="preserve">Kompletna instrukcja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obsługi odbiornika </w:t>
            </w:r>
            <w:r w:rsidRPr="007B255B">
              <w:rPr>
                <w:rFonts w:ascii="Times New Roman" w:hAnsi="Times New Roman"/>
                <w:i w:val="0"/>
                <w:szCs w:val="22"/>
              </w:rPr>
              <w:t xml:space="preserve"> w języku polskim</w:t>
            </w:r>
            <w:r>
              <w:rPr>
                <w:rFonts w:ascii="Times New Roman" w:hAnsi="Times New Roman"/>
                <w:i w:val="0"/>
                <w:szCs w:val="22"/>
              </w:rPr>
              <w:t>, Zamawiający dopuszcza dostarczenie instrukcji w postaci dokumentu elektronicznego.</w:t>
            </w:r>
          </w:p>
        </w:tc>
        <w:tc>
          <w:tcPr>
            <w:tcW w:w="5244" w:type="dxa"/>
          </w:tcPr>
          <w:p w:rsidR="00C03080" w:rsidRPr="00B360A2" w:rsidRDefault="00C03080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C03080" w:rsidRPr="0088065E" w:rsidTr="007A4A92">
        <w:trPr>
          <w:trHeight w:val="638"/>
        </w:trPr>
        <w:tc>
          <w:tcPr>
            <w:tcW w:w="623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19</w:t>
            </w:r>
          </w:p>
        </w:tc>
        <w:tc>
          <w:tcPr>
            <w:tcW w:w="2779" w:type="dxa"/>
          </w:tcPr>
          <w:p w:rsidR="00C03080" w:rsidRPr="007B255B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Wymagania dodatkowe</w:t>
            </w:r>
          </w:p>
        </w:tc>
        <w:tc>
          <w:tcPr>
            <w:tcW w:w="5529" w:type="dxa"/>
          </w:tcPr>
          <w:p w:rsidR="00C03080" w:rsidRPr="00AE610C" w:rsidRDefault="00B33844" w:rsidP="00C0308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Ze względu na konieczność włączenia dostarczonego odbiornika do oprogramowania zarządzającego siecią ASG-EUPOS  Zamawiający  wymaga, aby dostarczony sprzęt znajdował się na liście odbiorników obsługiwanych przez oprogramowanie  Trimble Pivot Platform,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w zakresie generowania powierzchniowych danych korekcyjnych na podstawie systemów satelitarnych: GPS, Glonass, Galileo i Beidou.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Lista odbiorników  przystosowanych do pracy w środowisku oprogramowania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w wymaganym zakresie została wymieniona w ostatniej kolumnie tabeli zawartej w 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załącznik</w:t>
            </w:r>
            <w:r>
              <w:rPr>
                <w:rFonts w:ascii="Times New Roman" w:hAnsi="Times New Roman"/>
                <w:b w:val="0"/>
                <w:color w:val="auto"/>
              </w:rPr>
              <w:t>u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nr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1 do niniejszego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Opisu Przedmiotu Zamówienia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(tytuł kolumny: „</w:t>
            </w:r>
            <w:r w:rsidRPr="003860F9">
              <w:rPr>
                <w:rFonts w:ascii="Times New Roman" w:hAnsi="Times New Roman"/>
                <w:b w:val="0"/>
                <w:i/>
                <w:color w:val="auto"/>
              </w:rPr>
              <w:t>Supported in RTXNet (GPS, Glonass, Galileo, Beidou, if available”</w:t>
            </w:r>
            <w:r>
              <w:rPr>
                <w:rFonts w:ascii="Times New Roman" w:hAnsi="Times New Roman"/>
                <w:b w:val="0"/>
                <w:i/>
                <w:color w:val="auto"/>
              </w:rPr>
              <w:t>)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.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W przypadku gdy oferowany odbiornik GNSS nie występuje na wskazanej liście, Wykonawca zobowiązany jest załączyć do oferty oświadczenie producenta oprogramowania  Trimble Pivot Platf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orm, że oferowany sprzęt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w pełni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współpracuje z w/w oprogramowa</w:t>
            </w:r>
            <w:r>
              <w:rPr>
                <w:rFonts w:ascii="Times New Roman" w:hAnsi="Times New Roman"/>
                <w:b w:val="0"/>
                <w:color w:val="auto"/>
              </w:rPr>
              <w:t>niem.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C03080" w:rsidRDefault="00C03080" w:rsidP="00C03495">
            <w:pPr>
              <w:rPr>
                <w:lang w:eastAsia="en-US"/>
              </w:rPr>
            </w:pPr>
          </w:p>
          <w:p w:rsidR="00C03080" w:rsidRPr="00C03495" w:rsidRDefault="00C03080" w:rsidP="00C03495">
            <w:pPr>
              <w:rPr>
                <w:lang w:eastAsia="en-US"/>
              </w:rPr>
            </w:pPr>
          </w:p>
        </w:tc>
      </w:tr>
      <w:tr w:rsidR="000610C0" w:rsidRPr="0088065E" w:rsidTr="000610C0">
        <w:tc>
          <w:tcPr>
            <w:tcW w:w="8931" w:type="dxa"/>
            <w:gridSpan w:val="3"/>
            <w:shd w:val="clear" w:color="auto" w:fill="auto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B)  Antena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satelitarna</w:t>
            </w:r>
          </w:p>
        </w:tc>
        <w:tc>
          <w:tcPr>
            <w:tcW w:w="5244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 w:val="restart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Model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anteny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GNSS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typu Choke Ring (lub 3-D Choke Ring) umożliwiająca śledzenie satelitów systemów GPS+GLONASS+GALILEO+BeiDou z przeciwśniegową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kopułą ochronną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C03495">
        <w:trPr>
          <w:trHeight w:val="293"/>
        </w:trPr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i kopuła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przeciwśniegowa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zgodna z zaleceniami producenta dostarczonego odbiornika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rPr>
          <w:trHeight w:val="292"/>
        </w:trPr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umieszczon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4A08A1">
              <w:rPr>
                <w:rFonts w:ascii="Times New Roman" w:hAnsi="Times New Roman"/>
                <w:i w:val="0"/>
                <w:szCs w:val="22"/>
              </w:rPr>
              <w:t xml:space="preserve"> w aktualnym pliku kalibracji absolutnych IGS</w:t>
            </w:r>
            <w:r>
              <w:rPr>
                <w:rFonts w:ascii="Times New Roman" w:hAnsi="Times New Roman"/>
                <w:i w:val="0"/>
                <w:szCs w:val="22"/>
              </w:rPr>
              <w:t>14</w:t>
            </w:r>
            <w:r w:rsidRPr="004A08A1">
              <w:rPr>
                <w:rFonts w:ascii="Times New Roman" w:hAnsi="Times New Roman"/>
                <w:i w:val="0"/>
                <w:szCs w:val="22"/>
              </w:rPr>
              <w:t>.atx.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Centrum fazowe 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Powtarzalność/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tabilność centrum fazowego nie gorsza niż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 mm</w:t>
              </w:r>
              <w:r>
                <w:rPr>
                  <w:rFonts w:ascii="Times New Roman" w:hAnsi="Times New Roman"/>
                  <w:i w:val="0"/>
                  <w:szCs w:val="22"/>
                </w:rPr>
                <w:t>.</w:t>
              </w:r>
            </w:smartTag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Pr="00C128D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080" w:rsidRPr="004A08A1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>Kalibracja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modelu anteny</w:t>
            </w:r>
          </w:p>
        </w:tc>
        <w:tc>
          <w:tcPr>
            <w:tcW w:w="5529" w:type="dxa"/>
          </w:tcPr>
          <w:p w:rsidR="00C03080" w:rsidRPr="004A08A1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 xml:space="preserve">Antena musi mieć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przeprowadzoną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absolutną kalibrację centrum fazowego dla modelu anteny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wraz z kopułą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przeciwśniegową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5529" w:type="dxa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Od –</w:t>
            </w:r>
            <w:r>
              <w:rPr>
                <w:rFonts w:ascii="Times New Roman" w:hAnsi="Times New Roman"/>
                <w:i w:val="0"/>
                <w:szCs w:val="22"/>
              </w:rPr>
              <w:t>40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+70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 w:val="restart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Zabezpieczenie przed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pyłem 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wilgocią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co najmniej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67 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Odporna na wstrząsy i upadek z wysokości </w:t>
            </w:r>
            <w:r w:rsidRPr="000D5C16">
              <w:rPr>
                <w:rFonts w:ascii="Times New Roman" w:hAnsi="Times New Roman"/>
                <w:i w:val="0"/>
                <w:szCs w:val="22"/>
              </w:rPr>
              <w:t>co najmniej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m"/>
              </w:smartTagPr>
              <w:r>
                <w:rPr>
                  <w:rFonts w:ascii="Times New Roman" w:hAnsi="Times New Roman"/>
                  <w:i w:val="0"/>
                  <w:szCs w:val="22"/>
                </w:rPr>
                <w:t>0,5</w:t>
              </w:r>
              <w:r w:rsidRPr="0088065E">
                <w:rPr>
                  <w:rFonts w:ascii="Times New Roman" w:hAnsi="Times New Roman"/>
                  <w:i w:val="0"/>
                  <w:szCs w:val="22"/>
                </w:rPr>
                <w:t xml:space="preserve"> 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na twardą powierzchnię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Antena ma mieć możliwość bezpośredniego zamontowania na śrubie z gwintem 5/8”.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8F18C1" w:rsidRPr="0088065E" w:rsidTr="000610C0">
        <w:tc>
          <w:tcPr>
            <w:tcW w:w="623" w:type="dxa"/>
          </w:tcPr>
          <w:p w:rsidR="008F18C1" w:rsidRPr="0088065E" w:rsidRDefault="008F18C1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8F18C1" w:rsidRPr="0088065E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Śledzenie satelitów</w:t>
            </w:r>
          </w:p>
        </w:tc>
        <w:tc>
          <w:tcPr>
            <w:tcW w:w="5529" w:type="dxa"/>
          </w:tcPr>
          <w:p w:rsidR="008F18C1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śledzenia niskich satelitów </w:t>
            </w:r>
            <w:r w:rsidRPr="000D5C16">
              <w:rPr>
                <w:rFonts w:ascii="Times New Roman" w:hAnsi="Times New Roman"/>
                <w:i w:val="0"/>
                <w:szCs w:val="22"/>
              </w:rPr>
              <w:t xml:space="preserve">od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wys. 0°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Śledzenie na częstotliwościach: </w:t>
            </w:r>
          </w:p>
          <w:p w:rsidR="008F18C1" w:rsidRPr="00B75A3A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43667">
              <w:rPr>
                <w:rFonts w:ascii="Times New Roman" w:hAnsi="Times New Roman"/>
                <w:i w:val="0"/>
                <w:szCs w:val="22"/>
              </w:rPr>
              <w:t xml:space="preserve">L1, L2, </w:t>
            </w:r>
            <w:r w:rsidRPr="00A27F13">
              <w:rPr>
                <w:rFonts w:ascii="Times New Roman" w:hAnsi="Times New Roman"/>
                <w:i w:val="0"/>
                <w:szCs w:val="22"/>
              </w:rPr>
              <w:t xml:space="preserve"> L5 (GPS), </w:t>
            </w:r>
          </w:p>
          <w:p w:rsidR="008F18C1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 xml:space="preserve">L1, L2 (GLONASS), </w:t>
            </w:r>
          </w:p>
          <w:p w:rsidR="008F18C1" w:rsidRPr="00B75A3A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>E1, E2, E5a, E5b, (Galileo)</w:t>
            </w:r>
          </w:p>
          <w:p w:rsidR="008F18C1" w:rsidRPr="0088065E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B1, B2, B3 (Beidou)</w:t>
            </w:r>
          </w:p>
        </w:tc>
        <w:tc>
          <w:tcPr>
            <w:tcW w:w="5244" w:type="dxa"/>
          </w:tcPr>
          <w:p w:rsidR="008F18C1" w:rsidRPr="0088065E" w:rsidRDefault="008F18C1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8F18C1" w:rsidRPr="0088065E" w:rsidTr="00C03495">
        <w:trPr>
          <w:trHeight w:val="586"/>
        </w:trPr>
        <w:tc>
          <w:tcPr>
            <w:tcW w:w="623" w:type="dxa"/>
            <w:vMerge w:val="restart"/>
          </w:tcPr>
          <w:p w:rsidR="008F18C1" w:rsidRPr="0088065E" w:rsidRDefault="008F18C1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 w:val="restart"/>
          </w:tcPr>
          <w:p w:rsidR="008F18C1" w:rsidRPr="0088065E" w:rsidRDefault="008F18C1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5529" w:type="dxa"/>
          </w:tcPr>
          <w:p w:rsidR="008F18C1" w:rsidRPr="001D3175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wyprodukowana 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2016 lub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Cs w:val="22"/>
              </w:rPr>
              <w:t>17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roku</w:t>
            </w:r>
          </w:p>
        </w:tc>
        <w:tc>
          <w:tcPr>
            <w:tcW w:w="5244" w:type="dxa"/>
          </w:tcPr>
          <w:p w:rsidR="008F18C1" w:rsidRPr="0088065E" w:rsidRDefault="008F18C1" w:rsidP="00C03495">
            <w:pPr>
              <w:pStyle w:val="Styl2"/>
              <w:spacing w:before="40" w:after="40"/>
              <w:ind w:left="22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8F18C1" w:rsidRPr="0088065E" w:rsidTr="000610C0">
        <w:trPr>
          <w:trHeight w:val="1387"/>
        </w:trPr>
        <w:tc>
          <w:tcPr>
            <w:tcW w:w="623" w:type="dxa"/>
            <w:vMerge/>
          </w:tcPr>
          <w:p w:rsidR="008F18C1" w:rsidRPr="0088065E" w:rsidRDefault="008F18C1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8F18C1" w:rsidRPr="0088065E" w:rsidRDefault="008F18C1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8F18C1" w:rsidRPr="00C867E0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C867E0">
              <w:rPr>
                <w:rFonts w:ascii="Times New Roman" w:hAnsi="Times New Roman"/>
                <w:i w:val="0"/>
                <w:szCs w:val="22"/>
              </w:rPr>
              <w:t>W przypadku, gdy:</w:t>
            </w:r>
          </w:p>
          <w:p w:rsidR="008F18C1" w:rsidRPr="001D3175" w:rsidRDefault="008F18C1" w:rsidP="008F18C1">
            <w:pPr>
              <w:pStyle w:val="Styl2"/>
              <w:numPr>
                <w:ilvl w:val="0"/>
                <w:numId w:val="11"/>
              </w:numPr>
              <w:spacing w:before="40" w:after="40"/>
              <w:ind w:left="355" w:hanging="355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D3175">
              <w:rPr>
                <w:rFonts w:ascii="Times New Roman" w:hAnsi="Times New Roman"/>
                <w:i w:val="0"/>
                <w:szCs w:val="22"/>
              </w:rPr>
              <w:t>dostarczona antena posiada gniazdo antenowe TNC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1D3175">
              <w:rPr>
                <w:rFonts w:ascii="Times New Roman" w:hAnsi="Times New Roman"/>
                <w:i w:val="0"/>
                <w:szCs w:val="22"/>
              </w:rPr>
              <w:t xml:space="preserve"> może być wykorzystany dotychczasowy kabel antenowy do połączenia anteny z bezpiecznikiem odgromowym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odbiornika;</w:t>
            </w:r>
          </w:p>
          <w:p w:rsidR="008F18C1" w:rsidRPr="0088065E" w:rsidRDefault="008F18C1" w:rsidP="008F18C1">
            <w:pPr>
              <w:pStyle w:val="Styl2"/>
              <w:numPr>
                <w:ilvl w:val="0"/>
                <w:numId w:val="11"/>
              </w:numPr>
              <w:spacing w:before="40" w:after="40"/>
              <w:ind w:left="355" w:hanging="355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D3175">
              <w:rPr>
                <w:rFonts w:ascii="Times New Roman" w:hAnsi="Times New Roman"/>
                <w:i w:val="0"/>
                <w:szCs w:val="22"/>
              </w:rPr>
              <w:t>dostarczona antena posiada inny niż TNC typ gniazda antenowego Wykonawca dostarczy adapter umożliwiający podłączenie kabla antenowego (wtyk typu TNC) do gniazda anteny</w:t>
            </w:r>
          </w:p>
        </w:tc>
        <w:tc>
          <w:tcPr>
            <w:tcW w:w="5244" w:type="dxa"/>
          </w:tcPr>
          <w:p w:rsidR="008F18C1" w:rsidRPr="0088065E" w:rsidRDefault="008F18C1" w:rsidP="00C03495">
            <w:pPr>
              <w:pStyle w:val="Styl2"/>
              <w:spacing w:before="40" w:after="40"/>
              <w:ind w:left="22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</w:tbl>
    <w:p w:rsidR="000610C0" w:rsidRDefault="000610C0" w:rsidP="009934DA">
      <w:pPr>
        <w:spacing w:before="240" w:after="120" w:line="360" w:lineRule="auto"/>
        <w:rPr>
          <w:b/>
          <w:sz w:val="24"/>
          <w:szCs w:val="24"/>
        </w:rPr>
      </w:pPr>
    </w:p>
    <w:p w:rsidR="009934DA" w:rsidRDefault="009934DA" w:rsidP="009934DA">
      <w:pPr>
        <w:spacing w:before="240" w:after="120" w:line="360" w:lineRule="auto"/>
        <w:rPr>
          <w:b/>
          <w:sz w:val="24"/>
          <w:szCs w:val="24"/>
        </w:rPr>
      </w:pPr>
    </w:p>
    <w:p w:rsidR="009934DA" w:rsidRDefault="009934DA" w:rsidP="009934DA">
      <w:pPr>
        <w:spacing w:before="240" w:after="120" w:line="360" w:lineRule="auto"/>
        <w:rPr>
          <w:b/>
          <w:sz w:val="24"/>
          <w:szCs w:val="24"/>
        </w:rPr>
      </w:pPr>
    </w:p>
    <w:p w:rsidR="00ED2512" w:rsidRDefault="00ED2512" w:rsidP="009934DA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CF00CE" w:rsidRDefault="00CF00CE" w:rsidP="00ED2512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B36E32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Pr="003067ED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Default="00B36E32" w:rsidP="00B36E32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B84D55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B36E32" w:rsidRPr="006C4D84" w:rsidRDefault="00B36E32" w:rsidP="00B36E32">
      <w:pPr>
        <w:spacing w:line="360" w:lineRule="auto"/>
        <w:jc w:val="both"/>
        <w:rPr>
          <w:sz w:val="24"/>
          <w:szCs w:val="24"/>
        </w:rPr>
      </w:pPr>
    </w:p>
    <w:p w:rsidR="00B36E32" w:rsidRPr="006C4D84" w:rsidRDefault="00B36E32" w:rsidP="00B36E32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B36E32" w:rsidRPr="00C41BA5" w:rsidRDefault="00B36E32" w:rsidP="00B36E32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B36E32" w:rsidRPr="00C41BA5" w:rsidSect="00040247">
      <w:footerReference w:type="even" r:id="rId7"/>
      <w:footerReference w:type="default" r:id="rId8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86" w:rsidRDefault="00186286" w:rsidP="00F24D36">
      <w:r>
        <w:separator/>
      </w:r>
    </w:p>
  </w:endnote>
  <w:endnote w:type="continuationSeparator" w:id="0">
    <w:p w:rsidR="00186286" w:rsidRDefault="00186286" w:rsidP="00F2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80" w:rsidRDefault="00CF76F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30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308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03080" w:rsidRDefault="00C03080" w:rsidP="003D6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80" w:rsidRDefault="00CF76F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30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17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03080" w:rsidRDefault="00C03080" w:rsidP="003D6C4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86" w:rsidRDefault="00186286" w:rsidP="00F24D36">
      <w:r>
        <w:separator/>
      </w:r>
    </w:p>
  </w:footnote>
  <w:footnote w:type="continuationSeparator" w:id="0">
    <w:p w:rsidR="00186286" w:rsidRDefault="00186286" w:rsidP="00F2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B832D4"/>
    <w:multiLevelType w:val="hybridMultilevel"/>
    <w:tmpl w:val="21DE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A21"/>
    <w:multiLevelType w:val="hybridMultilevel"/>
    <w:tmpl w:val="F5C67046"/>
    <w:lvl w:ilvl="0" w:tplc="68782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A47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4B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4F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20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D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23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8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4B3E"/>
    <w:multiLevelType w:val="hybridMultilevel"/>
    <w:tmpl w:val="6EF65340"/>
    <w:lvl w:ilvl="0" w:tplc="714E4AEE">
      <w:start w:val="1"/>
      <w:numFmt w:val="decimal"/>
      <w:lvlText w:val="%1."/>
      <w:lvlJc w:val="left"/>
      <w:pPr>
        <w:ind w:left="360" w:hanging="360"/>
      </w:pPr>
    </w:lvl>
    <w:lvl w:ilvl="1" w:tplc="DD4EA962" w:tentative="1">
      <w:start w:val="1"/>
      <w:numFmt w:val="lowerLetter"/>
      <w:lvlText w:val="%2."/>
      <w:lvlJc w:val="left"/>
      <w:pPr>
        <w:ind w:left="2493" w:hanging="360"/>
      </w:pPr>
    </w:lvl>
    <w:lvl w:ilvl="2" w:tplc="B712A5F4" w:tentative="1">
      <w:start w:val="1"/>
      <w:numFmt w:val="lowerRoman"/>
      <w:lvlText w:val="%3."/>
      <w:lvlJc w:val="right"/>
      <w:pPr>
        <w:ind w:left="3213" w:hanging="180"/>
      </w:pPr>
    </w:lvl>
    <w:lvl w:ilvl="3" w:tplc="0B5E66BE" w:tentative="1">
      <w:start w:val="1"/>
      <w:numFmt w:val="decimal"/>
      <w:lvlText w:val="%4."/>
      <w:lvlJc w:val="left"/>
      <w:pPr>
        <w:ind w:left="3933" w:hanging="360"/>
      </w:pPr>
    </w:lvl>
    <w:lvl w:ilvl="4" w:tplc="0546C4C2" w:tentative="1">
      <w:start w:val="1"/>
      <w:numFmt w:val="lowerLetter"/>
      <w:lvlText w:val="%5."/>
      <w:lvlJc w:val="left"/>
      <w:pPr>
        <w:ind w:left="4653" w:hanging="360"/>
      </w:pPr>
    </w:lvl>
    <w:lvl w:ilvl="5" w:tplc="E43C67AE" w:tentative="1">
      <w:start w:val="1"/>
      <w:numFmt w:val="lowerRoman"/>
      <w:lvlText w:val="%6."/>
      <w:lvlJc w:val="right"/>
      <w:pPr>
        <w:ind w:left="5373" w:hanging="180"/>
      </w:pPr>
    </w:lvl>
    <w:lvl w:ilvl="6" w:tplc="DDE67AFC" w:tentative="1">
      <w:start w:val="1"/>
      <w:numFmt w:val="decimal"/>
      <w:lvlText w:val="%7."/>
      <w:lvlJc w:val="left"/>
      <w:pPr>
        <w:ind w:left="6093" w:hanging="360"/>
      </w:pPr>
    </w:lvl>
    <w:lvl w:ilvl="7" w:tplc="B80AE540" w:tentative="1">
      <w:start w:val="1"/>
      <w:numFmt w:val="lowerLetter"/>
      <w:lvlText w:val="%8."/>
      <w:lvlJc w:val="left"/>
      <w:pPr>
        <w:ind w:left="6813" w:hanging="360"/>
      </w:pPr>
    </w:lvl>
    <w:lvl w:ilvl="8" w:tplc="5944E94E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FBE27B1"/>
    <w:multiLevelType w:val="hybridMultilevel"/>
    <w:tmpl w:val="7DD6015A"/>
    <w:lvl w:ilvl="0" w:tplc="71065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245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A3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4B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06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CF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0E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06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2A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A5AE1"/>
    <w:multiLevelType w:val="hybridMultilevel"/>
    <w:tmpl w:val="22C8956E"/>
    <w:lvl w:ilvl="0" w:tplc="67385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6CE8" w:tentative="1">
      <w:start w:val="1"/>
      <w:numFmt w:val="lowerLetter"/>
      <w:lvlText w:val="%2."/>
      <w:lvlJc w:val="left"/>
      <w:pPr>
        <w:ind w:left="1440" w:hanging="360"/>
      </w:pPr>
    </w:lvl>
    <w:lvl w:ilvl="2" w:tplc="96547F44" w:tentative="1">
      <w:start w:val="1"/>
      <w:numFmt w:val="lowerRoman"/>
      <w:lvlText w:val="%3."/>
      <w:lvlJc w:val="right"/>
      <w:pPr>
        <w:ind w:left="2160" w:hanging="180"/>
      </w:pPr>
    </w:lvl>
    <w:lvl w:ilvl="3" w:tplc="DE9207D4" w:tentative="1">
      <w:start w:val="1"/>
      <w:numFmt w:val="decimal"/>
      <w:lvlText w:val="%4."/>
      <w:lvlJc w:val="left"/>
      <w:pPr>
        <w:ind w:left="2880" w:hanging="360"/>
      </w:pPr>
    </w:lvl>
    <w:lvl w:ilvl="4" w:tplc="99F26760" w:tentative="1">
      <w:start w:val="1"/>
      <w:numFmt w:val="lowerLetter"/>
      <w:lvlText w:val="%5."/>
      <w:lvlJc w:val="left"/>
      <w:pPr>
        <w:ind w:left="3600" w:hanging="360"/>
      </w:pPr>
    </w:lvl>
    <w:lvl w:ilvl="5" w:tplc="54743C7E" w:tentative="1">
      <w:start w:val="1"/>
      <w:numFmt w:val="lowerRoman"/>
      <w:lvlText w:val="%6."/>
      <w:lvlJc w:val="right"/>
      <w:pPr>
        <w:ind w:left="4320" w:hanging="180"/>
      </w:pPr>
    </w:lvl>
    <w:lvl w:ilvl="6" w:tplc="3CD419D2" w:tentative="1">
      <w:start w:val="1"/>
      <w:numFmt w:val="decimal"/>
      <w:lvlText w:val="%7."/>
      <w:lvlJc w:val="left"/>
      <w:pPr>
        <w:ind w:left="5040" w:hanging="360"/>
      </w:pPr>
    </w:lvl>
    <w:lvl w:ilvl="7" w:tplc="15746002" w:tentative="1">
      <w:start w:val="1"/>
      <w:numFmt w:val="lowerLetter"/>
      <w:lvlText w:val="%8."/>
      <w:lvlJc w:val="left"/>
      <w:pPr>
        <w:ind w:left="5760" w:hanging="360"/>
      </w:pPr>
    </w:lvl>
    <w:lvl w:ilvl="8" w:tplc="B9F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1D1"/>
    <w:multiLevelType w:val="hybridMultilevel"/>
    <w:tmpl w:val="559C92DE"/>
    <w:lvl w:ilvl="0" w:tplc="07D4B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80126E" w:tentative="1">
      <w:start w:val="1"/>
      <w:numFmt w:val="lowerLetter"/>
      <w:lvlText w:val="%2."/>
      <w:lvlJc w:val="left"/>
      <w:pPr>
        <w:ind w:left="1440" w:hanging="360"/>
      </w:pPr>
    </w:lvl>
    <w:lvl w:ilvl="2" w:tplc="799E47D4" w:tentative="1">
      <w:start w:val="1"/>
      <w:numFmt w:val="lowerRoman"/>
      <w:lvlText w:val="%3."/>
      <w:lvlJc w:val="right"/>
      <w:pPr>
        <w:ind w:left="2160" w:hanging="180"/>
      </w:pPr>
    </w:lvl>
    <w:lvl w:ilvl="3" w:tplc="E23804CC" w:tentative="1">
      <w:start w:val="1"/>
      <w:numFmt w:val="decimal"/>
      <w:lvlText w:val="%4."/>
      <w:lvlJc w:val="left"/>
      <w:pPr>
        <w:ind w:left="2880" w:hanging="360"/>
      </w:pPr>
    </w:lvl>
    <w:lvl w:ilvl="4" w:tplc="647EBFE2" w:tentative="1">
      <w:start w:val="1"/>
      <w:numFmt w:val="lowerLetter"/>
      <w:lvlText w:val="%5."/>
      <w:lvlJc w:val="left"/>
      <w:pPr>
        <w:ind w:left="3600" w:hanging="360"/>
      </w:pPr>
    </w:lvl>
    <w:lvl w:ilvl="5" w:tplc="D66A3AF8" w:tentative="1">
      <w:start w:val="1"/>
      <w:numFmt w:val="lowerRoman"/>
      <w:lvlText w:val="%6."/>
      <w:lvlJc w:val="right"/>
      <w:pPr>
        <w:ind w:left="4320" w:hanging="180"/>
      </w:pPr>
    </w:lvl>
    <w:lvl w:ilvl="6" w:tplc="ADAAF372" w:tentative="1">
      <w:start w:val="1"/>
      <w:numFmt w:val="decimal"/>
      <w:lvlText w:val="%7."/>
      <w:lvlJc w:val="left"/>
      <w:pPr>
        <w:ind w:left="5040" w:hanging="360"/>
      </w:pPr>
    </w:lvl>
    <w:lvl w:ilvl="7" w:tplc="14124524" w:tentative="1">
      <w:start w:val="1"/>
      <w:numFmt w:val="lowerLetter"/>
      <w:lvlText w:val="%8."/>
      <w:lvlJc w:val="left"/>
      <w:pPr>
        <w:ind w:left="5760" w:hanging="360"/>
      </w:pPr>
    </w:lvl>
    <w:lvl w:ilvl="8" w:tplc="C974F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5F68"/>
    <w:multiLevelType w:val="multilevel"/>
    <w:tmpl w:val="581EE33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>
    <w:nsid w:val="57A236B6"/>
    <w:multiLevelType w:val="hybridMultilevel"/>
    <w:tmpl w:val="2860409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07FFB"/>
    <w:multiLevelType w:val="hybridMultilevel"/>
    <w:tmpl w:val="26FE5FAC"/>
    <w:lvl w:ilvl="0" w:tplc="EB40B614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</w:rPr>
    </w:lvl>
    <w:lvl w:ilvl="1" w:tplc="C1B61A76" w:tentative="1">
      <w:start w:val="1"/>
      <w:numFmt w:val="lowerLetter"/>
      <w:lvlText w:val="%2."/>
      <w:lvlJc w:val="left"/>
      <w:pPr>
        <w:ind w:left="1440" w:hanging="360"/>
      </w:pPr>
    </w:lvl>
    <w:lvl w:ilvl="2" w:tplc="90520DD0" w:tentative="1">
      <w:start w:val="1"/>
      <w:numFmt w:val="lowerRoman"/>
      <w:lvlText w:val="%3."/>
      <w:lvlJc w:val="right"/>
      <w:pPr>
        <w:ind w:left="2160" w:hanging="180"/>
      </w:pPr>
    </w:lvl>
    <w:lvl w:ilvl="3" w:tplc="3C48186A" w:tentative="1">
      <w:start w:val="1"/>
      <w:numFmt w:val="decimal"/>
      <w:lvlText w:val="%4."/>
      <w:lvlJc w:val="left"/>
      <w:pPr>
        <w:ind w:left="2880" w:hanging="360"/>
      </w:pPr>
    </w:lvl>
    <w:lvl w:ilvl="4" w:tplc="F2809940" w:tentative="1">
      <w:start w:val="1"/>
      <w:numFmt w:val="lowerLetter"/>
      <w:lvlText w:val="%5."/>
      <w:lvlJc w:val="left"/>
      <w:pPr>
        <w:ind w:left="3600" w:hanging="360"/>
      </w:pPr>
    </w:lvl>
    <w:lvl w:ilvl="5" w:tplc="A0F0A8EE" w:tentative="1">
      <w:start w:val="1"/>
      <w:numFmt w:val="lowerRoman"/>
      <w:lvlText w:val="%6."/>
      <w:lvlJc w:val="right"/>
      <w:pPr>
        <w:ind w:left="4320" w:hanging="180"/>
      </w:pPr>
    </w:lvl>
    <w:lvl w:ilvl="6" w:tplc="63866BB8" w:tentative="1">
      <w:start w:val="1"/>
      <w:numFmt w:val="decimal"/>
      <w:lvlText w:val="%7."/>
      <w:lvlJc w:val="left"/>
      <w:pPr>
        <w:ind w:left="5040" w:hanging="360"/>
      </w:pPr>
    </w:lvl>
    <w:lvl w:ilvl="7" w:tplc="F30EEED0" w:tentative="1">
      <w:start w:val="1"/>
      <w:numFmt w:val="lowerLetter"/>
      <w:lvlText w:val="%8."/>
      <w:lvlJc w:val="left"/>
      <w:pPr>
        <w:ind w:left="5760" w:hanging="360"/>
      </w:pPr>
    </w:lvl>
    <w:lvl w:ilvl="8" w:tplc="4314B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C42"/>
    <w:rsid w:val="0001519A"/>
    <w:rsid w:val="00032BEA"/>
    <w:rsid w:val="00040247"/>
    <w:rsid w:val="00051A96"/>
    <w:rsid w:val="00053D54"/>
    <w:rsid w:val="00054BEF"/>
    <w:rsid w:val="000552D3"/>
    <w:rsid w:val="00056680"/>
    <w:rsid w:val="000610C0"/>
    <w:rsid w:val="00074983"/>
    <w:rsid w:val="000916AB"/>
    <w:rsid w:val="000A280D"/>
    <w:rsid w:val="000A7C8A"/>
    <w:rsid w:val="000B36BF"/>
    <w:rsid w:val="000B5F23"/>
    <w:rsid w:val="000B7D60"/>
    <w:rsid w:val="000C0E8A"/>
    <w:rsid w:val="000C23BD"/>
    <w:rsid w:val="000C345C"/>
    <w:rsid w:val="000F1A23"/>
    <w:rsid w:val="00100582"/>
    <w:rsid w:val="001258C8"/>
    <w:rsid w:val="00126194"/>
    <w:rsid w:val="001423BF"/>
    <w:rsid w:val="00151047"/>
    <w:rsid w:val="001560EF"/>
    <w:rsid w:val="0016030F"/>
    <w:rsid w:val="00162636"/>
    <w:rsid w:val="00186286"/>
    <w:rsid w:val="0019695F"/>
    <w:rsid w:val="00197424"/>
    <w:rsid w:val="001A0A14"/>
    <w:rsid w:val="001A215E"/>
    <w:rsid w:val="001B6E3D"/>
    <w:rsid w:val="001C78D5"/>
    <w:rsid w:val="001E026B"/>
    <w:rsid w:val="001E275C"/>
    <w:rsid w:val="001E4345"/>
    <w:rsid w:val="001E6252"/>
    <w:rsid w:val="00224628"/>
    <w:rsid w:val="00234CF7"/>
    <w:rsid w:val="0024612A"/>
    <w:rsid w:val="00253879"/>
    <w:rsid w:val="00262617"/>
    <w:rsid w:val="00274A6B"/>
    <w:rsid w:val="002801D6"/>
    <w:rsid w:val="00286CA5"/>
    <w:rsid w:val="002878F7"/>
    <w:rsid w:val="00294D6D"/>
    <w:rsid w:val="002A38CD"/>
    <w:rsid w:val="002B2D13"/>
    <w:rsid w:val="002C28FB"/>
    <w:rsid w:val="002D1938"/>
    <w:rsid w:val="002E0EB3"/>
    <w:rsid w:val="002E79AF"/>
    <w:rsid w:val="002F2643"/>
    <w:rsid w:val="0031243A"/>
    <w:rsid w:val="003148F8"/>
    <w:rsid w:val="00337F43"/>
    <w:rsid w:val="00343D02"/>
    <w:rsid w:val="00354B14"/>
    <w:rsid w:val="00370978"/>
    <w:rsid w:val="003801E3"/>
    <w:rsid w:val="003A3681"/>
    <w:rsid w:val="003C4057"/>
    <w:rsid w:val="003D4E06"/>
    <w:rsid w:val="003D6C43"/>
    <w:rsid w:val="003F0171"/>
    <w:rsid w:val="00427071"/>
    <w:rsid w:val="00440BC0"/>
    <w:rsid w:val="0045565D"/>
    <w:rsid w:val="004605DB"/>
    <w:rsid w:val="00465197"/>
    <w:rsid w:val="004711C3"/>
    <w:rsid w:val="004A6FAB"/>
    <w:rsid w:val="004B2F78"/>
    <w:rsid w:val="004C4860"/>
    <w:rsid w:val="004D3EA0"/>
    <w:rsid w:val="004E2E8A"/>
    <w:rsid w:val="00506EF4"/>
    <w:rsid w:val="00511C63"/>
    <w:rsid w:val="00540314"/>
    <w:rsid w:val="005416B8"/>
    <w:rsid w:val="005508A3"/>
    <w:rsid w:val="00554CA5"/>
    <w:rsid w:val="00577414"/>
    <w:rsid w:val="00584EC7"/>
    <w:rsid w:val="00596ABF"/>
    <w:rsid w:val="005A5F80"/>
    <w:rsid w:val="005B606F"/>
    <w:rsid w:val="005B7B18"/>
    <w:rsid w:val="00624F95"/>
    <w:rsid w:val="0064260B"/>
    <w:rsid w:val="006826DE"/>
    <w:rsid w:val="00683872"/>
    <w:rsid w:val="00685C1A"/>
    <w:rsid w:val="006A7DFB"/>
    <w:rsid w:val="006B2A8B"/>
    <w:rsid w:val="006C7C5C"/>
    <w:rsid w:val="006D1E2A"/>
    <w:rsid w:val="006F5D57"/>
    <w:rsid w:val="006F6E3F"/>
    <w:rsid w:val="00700306"/>
    <w:rsid w:val="00720945"/>
    <w:rsid w:val="00723632"/>
    <w:rsid w:val="00782878"/>
    <w:rsid w:val="007A4A92"/>
    <w:rsid w:val="007B2596"/>
    <w:rsid w:val="007C0728"/>
    <w:rsid w:val="007E0F9B"/>
    <w:rsid w:val="007E2064"/>
    <w:rsid w:val="007E6E75"/>
    <w:rsid w:val="007F6EEA"/>
    <w:rsid w:val="00805DCF"/>
    <w:rsid w:val="00814A4A"/>
    <w:rsid w:val="0083483E"/>
    <w:rsid w:val="00836129"/>
    <w:rsid w:val="00844A74"/>
    <w:rsid w:val="008461B3"/>
    <w:rsid w:val="00852B95"/>
    <w:rsid w:val="00853A58"/>
    <w:rsid w:val="008816B1"/>
    <w:rsid w:val="00882C1E"/>
    <w:rsid w:val="00884030"/>
    <w:rsid w:val="008861DF"/>
    <w:rsid w:val="00890EDD"/>
    <w:rsid w:val="0089665C"/>
    <w:rsid w:val="008A2308"/>
    <w:rsid w:val="008A2377"/>
    <w:rsid w:val="008A3613"/>
    <w:rsid w:val="008A3773"/>
    <w:rsid w:val="008A4C92"/>
    <w:rsid w:val="008B2D76"/>
    <w:rsid w:val="008B65A5"/>
    <w:rsid w:val="008C250C"/>
    <w:rsid w:val="008D3562"/>
    <w:rsid w:val="008D6F58"/>
    <w:rsid w:val="008E2C10"/>
    <w:rsid w:val="008F18C1"/>
    <w:rsid w:val="008F55D2"/>
    <w:rsid w:val="008F6D07"/>
    <w:rsid w:val="00906D39"/>
    <w:rsid w:val="00910C42"/>
    <w:rsid w:val="00921FEF"/>
    <w:rsid w:val="0094077E"/>
    <w:rsid w:val="009518B0"/>
    <w:rsid w:val="00962292"/>
    <w:rsid w:val="00970CBC"/>
    <w:rsid w:val="00976E98"/>
    <w:rsid w:val="009934DA"/>
    <w:rsid w:val="009971A7"/>
    <w:rsid w:val="009A41DE"/>
    <w:rsid w:val="009A6885"/>
    <w:rsid w:val="009B2B3C"/>
    <w:rsid w:val="009C5A05"/>
    <w:rsid w:val="009D1609"/>
    <w:rsid w:val="009E0BD4"/>
    <w:rsid w:val="009E6EBE"/>
    <w:rsid w:val="009F7DDF"/>
    <w:rsid w:val="00A52F93"/>
    <w:rsid w:val="00A55D61"/>
    <w:rsid w:val="00A77196"/>
    <w:rsid w:val="00A82DE7"/>
    <w:rsid w:val="00A835CA"/>
    <w:rsid w:val="00A8789A"/>
    <w:rsid w:val="00A916A0"/>
    <w:rsid w:val="00A96613"/>
    <w:rsid w:val="00AC5EA7"/>
    <w:rsid w:val="00AD76A0"/>
    <w:rsid w:val="00AE1BFC"/>
    <w:rsid w:val="00AE5771"/>
    <w:rsid w:val="00AF2AB4"/>
    <w:rsid w:val="00B05994"/>
    <w:rsid w:val="00B114FB"/>
    <w:rsid w:val="00B24651"/>
    <w:rsid w:val="00B33844"/>
    <w:rsid w:val="00B36E32"/>
    <w:rsid w:val="00B426A1"/>
    <w:rsid w:val="00B43CB4"/>
    <w:rsid w:val="00B52FC3"/>
    <w:rsid w:val="00B707AC"/>
    <w:rsid w:val="00B84D55"/>
    <w:rsid w:val="00B9123B"/>
    <w:rsid w:val="00BA22C9"/>
    <w:rsid w:val="00BB0981"/>
    <w:rsid w:val="00BB62D5"/>
    <w:rsid w:val="00BC0D75"/>
    <w:rsid w:val="00BD5E60"/>
    <w:rsid w:val="00BE3522"/>
    <w:rsid w:val="00BE3F57"/>
    <w:rsid w:val="00BE61CC"/>
    <w:rsid w:val="00BE633A"/>
    <w:rsid w:val="00BF4EE8"/>
    <w:rsid w:val="00C03080"/>
    <w:rsid w:val="00C03495"/>
    <w:rsid w:val="00C05CD4"/>
    <w:rsid w:val="00C6147A"/>
    <w:rsid w:val="00C66245"/>
    <w:rsid w:val="00C666B1"/>
    <w:rsid w:val="00C700E5"/>
    <w:rsid w:val="00C86147"/>
    <w:rsid w:val="00CB3AB0"/>
    <w:rsid w:val="00CC1C77"/>
    <w:rsid w:val="00CC5C1B"/>
    <w:rsid w:val="00CE3C81"/>
    <w:rsid w:val="00CF00CE"/>
    <w:rsid w:val="00CF3DF3"/>
    <w:rsid w:val="00CF76F2"/>
    <w:rsid w:val="00D06E39"/>
    <w:rsid w:val="00D342DD"/>
    <w:rsid w:val="00D45577"/>
    <w:rsid w:val="00D5449D"/>
    <w:rsid w:val="00D61932"/>
    <w:rsid w:val="00D61FD1"/>
    <w:rsid w:val="00D75E6F"/>
    <w:rsid w:val="00D87CF4"/>
    <w:rsid w:val="00DB0A93"/>
    <w:rsid w:val="00DB3674"/>
    <w:rsid w:val="00DB3DB9"/>
    <w:rsid w:val="00DD53EC"/>
    <w:rsid w:val="00DF0DB8"/>
    <w:rsid w:val="00DF0DE5"/>
    <w:rsid w:val="00E01570"/>
    <w:rsid w:val="00E14817"/>
    <w:rsid w:val="00E17902"/>
    <w:rsid w:val="00E2151C"/>
    <w:rsid w:val="00E2241C"/>
    <w:rsid w:val="00E420CE"/>
    <w:rsid w:val="00E55384"/>
    <w:rsid w:val="00E63035"/>
    <w:rsid w:val="00E644EB"/>
    <w:rsid w:val="00E840C8"/>
    <w:rsid w:val="00E84D2F"/>
    <w:rsid w:val="00E87B71"/>
    <w:rsid w:val="00E97964"/>
    <w:rsid w:val="00EC2CAC"/>
    <w:rsid w:val="00ED2512"/>
    <w:rsid w:val="00ED2E5E"/>
    <w:rsid w:val="00F00025"/>
    <w:rsid w:val="00F149DF"/>
    <w:rsid w:val="00F17DE0"/>
    <w:rsid w:val="00F24D36"/>
    <w:rsid w:val="00F27F68"/>
    <w:rsid w:val="00F3040B"/>
    <w:rsid w:val="00F50BCE"/>
    <w:rsid w:val="00F54F22"/>
    <w:rsid w:val="00F66A3C"/>
    <w:rsid w:val="00F733A7"/>
    <w:rsid w:val="00F80C4A"/>
    <w:rsid w:val="00F847F7"/>
    <w:rsid w:val="00F972A7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Plan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DB3674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DB3674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character" w:styleId="Odwoaniedokomentarza">
    <w:name w:val="annotation reference"/>
    <w:basedOn w:val="Domylnaczcionkaakapitu"/>
    <w:rsid w:val="00DB36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3674"/>
  </w:style>
  <w:style w:type="character" w:customStyle="1" w:styleId="TekstkomentarzaZnak">
    <w:name w:val="Tekst komentarza Znak"/>
    <w:basedOn w:val="Domylnaczcionkaakapitu"/>
    <w:link w:val="Tekstkomentarza"/>
    <w:rsid w:val="00DB3674"/>
    <w:rPr>
      <w:rFonts w:ascii="Times New Roman" w:eastAsia="Times New Roman" w:hAnsi="Times New Roman"/>
    </w:rPr>
  </w:style>
  <w:style w:type="paragraph" w:styleId="Listanumerowana">
    <w:name w:val="List Number"/>
    <w:basedOn w:val="Normalny"/>
    <w:uiPriority w:val="99"/>
    <w:semiHidden/>
    <w:unhideWhenUsed/>
    <w:rsid w:val="00DB3674"/>
    <w:pPr>
      <w:numPr>
        <w:numId w:val="3"/>
      </w:numPr>
      <w:contextualSpacing/>
    </w:pPr>
  </w:style>
  <w:style w:type="character" w:customStyle="1" w:styleId="WW8Num12z1">
    <w:name w:val="WW8Num12z1"/>
    <w:rsid w:val="00262617"/>
    <w:rPr>
      <w:rFonts w:ascii="Verdana" w:eastAsia="Times New Roman" w:hAnsi="Verdana" w:cs="Times New Roman"/>
      <w:b/>
      <w:sz w:val="20"/>
      <w:szCs w:val="20"/>
    </w:rPr>
  </w:style>
  <w:style w:type="paragraph" w:customStyle="1" w:styleId="A4-numerowany">
    <w:name w:val="A4-numerowany"/>
    <w:basedOn w:val="Normalny"/>
    <w:rsid w:val="00262617"/>
    <w:pPr>
      <w:numPr>
        <w:numId w:val="8"/>
      </w:numPr>
      <w:suppressAutoHyphens/>
      <w:spacing w:after="60"/>
      <w:ind w:left="-13500" w:firstLine="0"/>
      <w:jc w:val="both"/>
    </w:pPr>
    <w:rPr>
      <w:rFonts w:ascii="Verdana" w:hAnsi="Verdana"/>
      <w:szCs w:val="24"/>
      <w:lang w:eastAsia="ar-SA"/>
    </w:rPr>
  </w:style>
  <w:style w:type="character" w:customStyle="1" w:styleId="Nagwek3Znak">
    <w:name w:val="Nagłówek 3 Znak"/>
    <w:link w:val="Nagwek3"/>
    <w:rsid w:val="0026261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0030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aprzepiorka</cp:lastModifiedBy>
  <cp:revision>2</cp:revision>
  <cp:lastPrinted>2017-09-26T07:07:00Z</cp:lastPrinted>
  <dcterms:created xsi:type="dcterms:W3CDTF">2017-10-02T07:41:00Z</dcterms:created>
  <dcterms:modified xsi:type="dcterms:W3CDTF">2017-10-02T07:41:00Z</dcterms:modified>
</cp:coreProperties>
</file>