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B8" w:rsidRPr="0030054C" w:rsidRDefault="00035B28" w:rsidP="0030054C">
      <w:pPr>
        <w:jc w:val="right"/>
      </w:pPr>
      <w:r w:rsidRPr="00035B28">
        <w:t>Załącznik nr 1 do Badania rynku</w:t>
      </w:r>
    </w:p>
    <w:p w:rsidR="0030054C" w:rsidRPr="00AF098B" w:rsidRDefault="0030054C" w:rsidP="0030054C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30054C" w:rsidRDefault="006B42CC" w:rsidP="0030054C">
      <w:pPr>
        <w:spacing w:after="0"/>
        <w:jc w:val="center"/>
        <w:rPr>
          <w:b/>
        </w:rPr>
      </w:pPr>
      <w:r w:rsidRPr="003A0C93">
        <w:rPr>
          <w:b/>
        </w:rPr>
        <w:t xml:space="preserve">Warunki techniczne na </w:t>
      </w:r>
      <w:r>
        <w:br/>
      </w:r>
    </w:p>
    <w:p w:rsidR="006B42CC" w:rsidRPr="0030054C" w:rsidRDefault="004C10B8" w:rsidP="0030054C">
      <w:pPr>
        <w:spacing w:after="0"/>
        <w:jc w:val="center"/>
        <w:rPr>
          <w:b/>
        </w:rPr>
      </w:pPr>
      <w:r>
        <w:rPr>
          <w:b/>
        </w:rPr>
        <w:t>Opracowanie</w:t>
      </w:r>
      <w:r w:rsidR="006B42CC">
        <w:rPr>
          <w:b/>
          <w:bCs/>
        </w:rPr>
        <w:t xml:space="preserve"> oryginalnych zapisów niełacińskich dla nazw zawartych</w:t>
      </w:r>
    </w:p>
    <w:p w:rsidR="006B42CC" w:rsidRPr="00A340D9" w:rsidRDefault="006B42CC" w:rsidP="006B42CC">
      <w:pPr>
        <w:pStyle w:val="Tekstpodstawowywcity2"/>
        <w:spacing w:line="264" w:lineRule="auto"/>
        <w:ind w:right="23" w:firstLine="0"/>
        <w:jc w:val="center"/>
        <w:rPr>
          <w:rFonts w:eastAsia="TimesNewRomanPSMT"/>
          <w:bCs/>
          <w:szCs w:val="20"/>
        </w:rPr>
      </w:pPr>
      <w:r>
        <w:rPr>
          <w:b/>
          <w:bCs/>
        </w:rPr>
        <w:t>w „</w:t>
      </w:r>
      <w:r w:rsidRPr="00A340D9">
        <w:rPr>
          <w:b/>
          <w:bCs/>
          <w:iCs/>
        </w:rPr>
        <w:t>Urzędowym wykazie polskich nazw geograficznych świata</w:t>
      </w:r>
      <w:r>
        <w:rPr>
          <w:b/>
          <w:bCs/>
          <w:iCs/>
        </w:rPr>
        <w:t>”</w:t>
      </w:r>
      <w:r w:rsidR="000C687F">
        <w:rPr>
          <w:b/>
          <w:bCs/>
          <w:iCs/>
        </w:rPr>
        <w:t xml:space="preserve"> </w:t>
      </w:r>
      <w:r w:rsidR="000C687F">
        <w:rPr>
          <w:b/>
          <w:bCs/>
          <w:iCs/>
        </w:rPr>
        <w:br/>
      </w:r>
      <w:r w:rsidR="000C687F" w:rsidRPr="000C687F">
        <w:rPr>
          <w:bCs/>
          <w:iCs/>
        </w:rPr>
        <w:t xml:space="preserve">z obszaru krajów Azji Wschodniej, tj. </w:t>
      </w:r>
      <w:r w:rsidR="000C687F">
        <w:rPr>
          <w:bCs/>
          <w:iCs/>
        </w:rPr>
        <w:t xml:space="preserve">Chin, Japonii, Korei Południowej, </w:t>
      </w:r>
      <w:r w:rsidR="000C687F">
        <w:rPr>
          <w:bCs/>
          <w:iCs/>
        </w:rPr>
        <w:br/>
        <w:t>Korei Północnej, Singapuru oraz Tajwanu</w:t>
      </w:r>
    </w:p>
    <w:p w:rsidR="00B2115D" w:rsidRDefault="00B2115D"/>
    <w:p w:rsidR="006B42CC" w:rsidRPr="003A0C93" w:rsidRDefault="006B42CC" w:rsidP="006B42CC">
      <w:pPr>
        <w:pStyle w:val="Akapitzlis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ind w:left="284" w:hanging="284"/>
        <w:rPr>
          <w:b/>
        </w:rPr>
      </w:pPr>
      <w:r w:rsidRPr="003A0C93">
        <w:rPr>
          <w:b/>
        </w:rPr>
        <w:t xml:space="preserve">Opis przedmiotu zamówienia </w:t>
      </w:r>
    </w:p>
    <w:p w:rsidR="000C687F" w:rsidRPr="000C687F" w:rsidRDefault="000C687F" w:rsidP="000C687F">
      <w:pPr>
        <w:autoSpaceDE w:val="0"/>
        <w:autoSpaceDN w:val="0"/>
        <w:adjustRightInd w:val="0"/>
        <w:jc w:val="both"/>
        <w:rPr>
          <w:bCs/>
          <w:iCs/>
        </w:rPr>
      </w:pPr>
      <w:r w:rsidRPr="000C687F">
        <w:rPr>
          <w:rFonts w:eastAsiaTheme="minorHAnsi"/>
          <w:bCs/>
        </w:rPr>
        <w:t xml:space="preserve">Opracowanie </w:t>
      </w:r>
      <w:r w:rsidRPr="00161510">
        <w:t xml:space="preserve">oryginalnych zapisów niełacińskich dla </w:t>
      </w:r>
      <w:r w:rsidRPr="000C687F">
        <w:rPr>
          <w:bCs/>
        </w:rPr>
        <w:t xml:space="preserve">nazw zawartych w </w:t>
      </w:r>
      <w:r w:rsidRPr="000C687F">
        <w:rPr>
          <w:b/>
          <w:bCs/>
        </w:rPr>
        <w:t>„</w:t>
      </w:r>
      <w:r w:rsidRPr="000C687F">
        <w:rPr>
          <w:b/>
          <w:bCs/>
          <w:iCs/>
        </w:rPr>
        <w:t xml:space="preserve">Urzędowym wykazie polskich nazw geograficznych świata” </w:t>
      </w:r>
      <w:r w:rsidRPr="000C687F">
        <w:rPr>
          <w:bCs/>
          <w:iCs/>
        </w:rPr>
        <w:t>(wyd. 2019)  z obszaru krajów Azji Wschodniej tj. Chin, Japonii, Korei Południowej, Korei Pół</w:t>
      </w:r>
      <w:r>
        <w:rPr>
          <w:bCs/>
          <w:iCs/>
        </w:rPr>
        <w:t>nocnej, Singapuru oraz Tajwanu dotyczy łącznie 416 nazw.</w:t>
      </w:r>
    </w:p>
    <w:p w:rsidR="000C687F" w:rsidRDefault="000C687F" w:rsidP="000C687F">
      <w:pPr>
        <w:autoSpaceDE w:val="0"/>
        <w:autoSpaceDN w:val="0"/>
        <w:adjustRightInd w:val="0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Szczegółowe informacje dotyczące liczby nazw dla poszczególnych języków znajdują się </w:t>
      </w:r>
      <w:r>
        <w:rPr>
          <w:rFonts w:eastAsiaTheme="minorHAnsi"/>
          <w:bCs/>
        </w:rPr>
        <w:br/>
        <w:t>w poniższym zestawieniu:</w:t>
      </w:r>
    </w:p>
    <w:p w:rsidR="000C687F" w:rsidRDefault="000C687F" w:rsidP="00765781">
      <w:pPr>
        <w:shd w:val="clear" w:color="auto" w:fill="FFFFFF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hd w:val="clear" w:color="auto" w:fill="FFFFFF"/>
        </w:rPr>
        <w:t>Kraje Azji Wschodniej</w:t>
      </w:r>
      <w:r>
        <w:rPr>
          <w:color w:val="000000"/>
          <w:shd w:val="clear" w:color="auto" w:fill="FFFFFF"/>
        </w:rPr>
        <w:t xml:space="preserve">: Chiny, Japonia, Korea Południowa, </w:t>
      </w:r>
      <w:r w:rsidR="00765781">
        <w:rPr>
          <w:color w:val="000000"/>
          <w:shd w:val="clear" w:color="auto" w:fill="FFFFFF"/>
        </w:rPr>
        <w:t xml:space="preserve">Korea Północna, Singapur, </w:t>
      </w:r>
      <w:r>
        <w:rPr>
          <w:color w:val="000000"/>
          <w:shd w:val="clear" w:color="auto" w:fill="FFFFFF"/>
        </w:rPr>
        <w:t>Tajwan: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liczba obiektów: 293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liczba nazw: 416, w tym: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chińskich: 262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chińskich kantońskich: 13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japońskich: 59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koreańskich: 54</w:t>
      </w:r>
    </w:p>
    <w:p w:rsidR="000C687F" w:rsidRDefault="000C687F" w:rsidP="000C687F">
      <w:pPr>
        <w:shd w:val="clear" w:color="auto" w:fill="FFFFFF"/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nazw tybetańskich: 28</w:t>
      </w:r>
    </w:p>
    <w:p w:rsidR="000C687F" w:rsidRPr="000C687F" w:rsidRDefault="000C687F" w:rsidP="000C687F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B648E">
        <w:rPr>
          <w:color w:val="FF0000"/>
          <w:u w:val="single"/>
        </w:rPr>
        <w:t>Uwaga</w:t>
      </w:r>
      <w:r w:rsidRPr="004B648E">
        <w:rPr>
          <w:color w:val="FF0000"/>
        </w:rPr>
        <w:t>: bez opracowania nazw kazachskich, kirgiskich, mongolskich i ujgurskich w Chinach oraz bez opracowania nazw tamilskich w Singapurze</w:t>
      </w:r>
    </w:p>
    <w:p w:rsidR="000C687F" w:rsidRPr="000C687F" w:rsidRDefault="000C687F" w:rsidP="000C687F">
      <w:pPr>
        <w:spacing w:after="120"/>
        <w:jc w:val="both"/>
        <w:rPr>
          <w:color w:val="FF0000"/>
        </w:rPr>
      </w:pPr>
      <w:r w:rsidRPr="008F41A1">
        <w:t xml:space="preserve">W związku z ciągłą realizacją zadań przez Komisję Standaryzacji Nazw Geograficznych poza Granicami Rzeczypospolitej Polskiej w zakresie opiniowania polskich nazw geograficznych świata, ostateczna liczba nazw może ulec zmianie w granicach </w:t>
      </w:r>
      <w:r w:rsidRPr="008F41A1">
        <w:rPr>
          <w:color w:val="FF0000"/>
        </w:rPr>
        <w:t>+/-  10%.</w:t>
      </w:r>
    </w:p>
    <w:p w:rsidR="00E07909" w:rsidRDefault="00E07909" w:rsidP="00E07909">
      <w:pPr>
        <w:pStyle w:val="Tekstpodstawowywcity2"/>
        <w:spacing w:line="264" w:lineRule="auto"/>
        <w:ind w:right="23" w:firstLine="0"/>
        <w:jc w:val="both"/>
        <w:rPr>
          <w:bCs/>
          <w:iCs/>
        </w:rPr>
      </w:pPr>
      <w:r w:rsidRPr="005F448E">
        <w:rPr>
          <w:bCs/>
          <w:iCs/>
        </w:rPr>
        <w:t xml:space="preserve">Forma elektroniczna publikacji </w:t>
      </w:r>
      <w:r>
        <w:rPr>
          <w:bCs/>
          <w:iCs/>
        </w:rPr>
        <w:t xml:space="preserve">„Urzędowy wykaz polskich nazw geograficznych świata” </w:t>
      </w:r>
      <w:r>
        <w:rPr>
          <w:bCs/>
          <w:iCs/>
        </w:rPr>
        <w:br/>
      </w:r>
      <w:r w:rsidRPr="005F448E">
        <w:rPr>
          <w:bCs/>
          <w:iCs/>
        </w:rPr>
        <w:t xml:space="preserve">w postaci pliku </w:t>
      </w:r>
      <w:r w:rsidR="00C16DAF" w:rsidRPr="005F448E">
        <w:rPr>
          <w:bCs/>
          <w:iCs/>
        </w:rPr>
        <w:t>PDF</w:t>
      </w:r>
      <w:r w:rsidRPr="005F448E">
        <w:rPr>
          <w:bCs/>
          <w:iCs/>
        </w:rPr>
        <w:t xml:space="preserve"> jest dostępna do wglądu na stronie internetowej Komisji Standaryzacji Nazw Geograficznych poza Granicami Rzeczypospolitej Polskiej, pod adresem: </w:t>
      </w:r>
      <w:hyperlink r:id="rId8" w:history="1">
        <w:r w:rsidRPr="00322C64">
          <w:rPr>
            <w:rStyle w:val="Hipercze"/>
            <w:bCs/>
            <w:iCs/>
          </w:rPr>
          <w:t>http://ksng.gugik.gov.pl/wpngs.php</w:t>
        </w:r>
      </w:hyperlink>
    </w:p>
    <w:p w:rsidR="00E07909" w:rsidRDefault="00E07909" w:rsidP="006B42CC">
      <w:pPr>
        <w:shd w:val="clear" w:color="auto" w:fill="FFFFFF"/>
        <w:tabs>
          <w:tab w:val="left" w:pos="1134"/>
        </w:tabs>
        <w:spacing w:after="120"/>
        <w:ind w:left="1418" w:hanging="1418"/>
        <w:jc w:val="both"/>
        <w:rPr>
          <w:b/>
        </w:rPr>
      </w:pPr>
    </w:p>
    <w:p w:rsidR="006B42CC" w:rsidRPr="0030054C" w:rsidRDefault="006B42CC" w:rsidP="006B42CC">
      <w:pPr>
        <w:spacing w:before="120"/>
        <w:jc w:val="both"/>
        <w:rPr>
          <w:b/>
        </w:rPr>
      </w:pPr>
      <w:r w:rsidRPr="0030054C">
        <w:rPr>
          <w:b/>
        </w:rPr>
        <w:t>Zakres przedmiotu zamówienia obejmuje:</w:t>
      </w:r>
    </w:p>
    <w:p w:rsidR="006B42CC" w:rsidRPr="00F67C06" w:rsidRDefault="006B42CC" w:rsidP="00E07909">
      <w:pPr>
        <w:pStyle w:val="Tekstpodstawowywcity2"/>
        <w:numPr>
          <w:ilvl w:val="0"/>
          <w:numId w:val="3"/>
        </w:numPr>
        <w:spacing w:after="120" w:line="264" w:lineRule="auto"/>
        <w:ind w:left="426" w:right="23" w:hanging="426"/>
        <w:jc w:val="both"/>
        <w:rPr>
          <w:bCs/>
          <w:i/>
        </w:rPr>
      </w:pPr>
      <w:r>
        <w:t>Opracowanie merytoryczne</w:t>
      </w:r>
      <w:r w:rsidRPr="003A0C93">
        <w:t xml:space="preserve"> </w:t>
      </w:r>
      <w:r>
        <w:t>oryginalnych zapisów niełacińskich</w:t>
      </w:r>
      <w:r w:rsidR="00C16DAF">
        <w:t xml:space="preserve"> dla nazw zawartych </w:t>
      </w:r>
      <w:r w:rsidR="00CB3892">
        <w:br/>
      </w:r>
      <w:r w:rsidR="00C16DAF">
        <w:t>w ww. publikacji</w:t>
      </w:r>
      <w:r>
        <w:t>,</w:t>
      </w:r>
      <w:r w:rsidRPr="003A0C93">
        <w:t xml:space="preserve"> zgodnie z </w:t>
      </w:r>
      <w:r>
        <w:rPr>
          <w:bCs/>
          <w:i/>
        </w:rPr>
        <w:t>zasadami</w:t>
      </w:r>
      <w:r w:rsidRPr="006B42CC">
        <w:rPr>
          <w:bCs/>
          <w:i/>
        </w:rPr>
        <w:t xml:space="preserve"> opracowania oryginalnych zapisów niełacińskich </w:t>
      </w:r>
      <w:r w:rsidRPr="006B42CC">
        <w:rPr>
          <w:bCs/>
          <w:i/>
        </w:rPr>
        <w:lastRenderedPageBreak/>
        <w:t xml:space="preserve">dla nazw zawartych w </w:t>
      </w:r>
      <w:r w:rsidRPr="006B42CC">
        <w:rPr>
          <w:bCs/>
          <w:i/>
          <w:iCs/>
        </w:rPr>
        <w:t xml:space="preserve">Urzędowym wykazie polskich nazw geograficznych świata </w:t>
      </w:r>
      <w:r w:rsidR="00F67C06">
        <w:rPr>
          <w:bCs/>
          <w:iCs/>
        </w:rPr>
        <w:t xml:space="preserve">przyjętych </w:t>
      </w:r>
      <w:r w:rsidR="00F67C06">
        <w:t>przez Komisję Standaryzacji Nazw Geograficznych poza Granicami Rzeczypospolitej Polskiej</w:t>
      </w:r>
      <w:r w:rsidR="00035B28">
        <w:t xml:space="preserve"> (KSNG)</w:t>
      </w:r>
      <w:r w:rsidR="00C16DAF">
        <w:t>, ujętymi</w:t>
      </w:r>
      <w:r w:rsidR="00642355">
        <w:t xml:space="preserve"> w pkt. 3</w:t>
      </w:r>
      <w:r w:rsidR="0036533B">
        <w:t xml:space="preserve"> w</w:t>
      </w:r>
      <w:r w:rsidR="00F67C06">
        <w:t>arunków technicznych</w:t>
      </w:r>
      <w:r w:rsidR="00D756CF">
        <w:t>.</w:t>
      </w:r>
    </w:p>
    <w:p w:rsidR="0030054C" w:rsidRDefault="00F67C06" w:rsidP="0030054C">
      <w:pPr>
        <w:pStyle w:val="Akapitzlist"/>
        <w:numPr>
          <w:ilvl w:val="0"/>
          <w:numId w:val="3"/>
        </w:numPr>
        <w:ind w:left="426" w:hanging="426"/>
        <w:jc w:val="both"/>
      </w:pPr>
      <w:r>
        <w:t>Weryfikację</w:t>
      </w:r>
      <w:r w:rsidRPr="003A0C93">
        <w:t xml:space="preserve"> opracowanego wykazu </w:t>
      </w:r>
      <w:r w:rsidRPr="00161510">
        <w:t xml:space="preserve">oryginalnych zapisów niełacińskich </w:t>
      </w:r>
      <w:r w:rsidRPr="003A0C93">
        <w:t>po ewentualnych uwagach i zaleceniach Komisj</w:t>
      </w:r>
      <w:r w:rsidR="00D756CF">
        <w:t>i uzgodnionych na</w:t>
      </w:r>
      <w:r>
        <w:t xml:space="preserve"> posiedzeniach plenarnych </w:t>
      </w:r>
      <w:r w:rsidRPr="003A0C93">
        <w:t>KSNG.</w:t>
      </w:r>
    </w:p>
    <w:p w:rsidR="00D756CF" w:rsidRPr="003A0C93" w:rsidRDefault="00D756CF" w:rsidP="00D75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284"/>
        </w:tabs>
      </w:pPr>
      <w:r w:rsidRPr="003A0C93">
        <w:rPr>
          <w:b/>
          <w:bCs/>
        </w:rPr>
        <w:t xml:space="preserve">2. </w:t>
      </w:r>
      <w:r w:rsidRPr="003A0C93">
        <w:rPr>
          <w:b/>
          <w:bCs/>
        </w:rPr>
        <w:tab/>
        <w:t>Przekazanie opracowania</w:t>
      </w:r>
    </w:p>
    <w:p w:rsidR="00D756CF" w:rsidRPr="00F47E92" w:rsidRDefault="00D756CF" w:rsidP="00F47E92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  <w:rPr>
          <w:i/>
        </w:rPr>
      </w:pPr>
      <w:r w:rsidRPr="003A0C93">
        <w:t xml:space="preserve">Opracowany wykaz </w:t>
      </w:r>
      <w:r w:rsidRPr="00161510">
        <w:t xml:space="preserve">oryginalnych zapisów niełacińskich dla </w:t>
      </w:r>
      <w:r w:rsidRPr="00161510">
        <w:rPr>
          <w:bCs/>
        </w:rPr>
        <w:t xml:space="preserve">nazw zawartych </w:t>
      </w:r>
      <w:r>
        <w:rPr>
          <w:bCs/>
        </w:rPr>
        <w:br/>
      </w:r>
      <w:r w:rsidRPr="00161510">
        <w:rPr>
          <w:bCs/>
        </w:rPr>
        <w:t xml:space="preserve">w </w:t>
      </w:r>
      <w:r>
        <w:rPr>
          <w:bCs/>
        </w:rPr>
        <w:t>„</w:t>
      </w:r>
      <w:r w:rsidRPr="00A340D9">
        <w:rPr>
          <w:bCs/>
          <w:iCs/>
        </w:rPr>
        <w:t>Urzędowym wykazie polskich nazw geograficznych świata</w:t>
      </w:r>
      <w:r w:rsidR="00F47E92">
        <w:rPr>
          <w:bCs/>
          <w:iCs/>
        </w:rPr>
        <w:t xml:space="preserve">” należy dostarczyć </w:t>
      </w:r>
      <w:r w:rsidR="00F47E92">
        <w:rPr>
          <w:bCs/>
          <w:iCs/>
        </w:rPr>
        <w:br/>
        <w:t>w formie elektronicznej w postaci: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60" w:line="240" w:lineRule="auto"/>
        <w:ind w:hanging="11"/>
        <w:jc w:val="both"/>
      </w:pPr>
      <w:r w:rsidRPr="003A0C93">
        <w:t>zapisu w dokumencie tekstowym programu MS</w:t>
      </w:r>
      <w:r w:rsidR="00E07909">
        <w:t xml:space="preserve"> </w:t>
      </w:r>
      <w:r w:rsidRPr="003A0C93">
        <w:t>Word,</w:t>
      </w:r>
    </w:p>
    <w:p w:rsidR="00D756CF" w:rsidRPr="003A0C93" w:rsidRDefault="00D756CF" w:rsidP="00D756CF">
      <w:pPr>
        <w:numPr>
          <w:ilvl w:val="0"/>
          <w:numId w:val="5"/>
        </w:numPr>
        <w:tabs>
          <w:tab w:val="left" w:pos="993"/>
        </w:tabs>
        <w:spacing w:after="120" w:line="240" w:lineRule="auto"/>
        <w:ind w:left="714" w:hanging="5"/>
        <w:jc w:val="both"/>
      </w:pPr>
      <w:r w:rsidRPr="003A0C93">
        <w:t>zapisu w dokumencie w formacie PDF.</w:t>
      </w:r>
    </w:p>
    <w:p w:rsidR="00D756CF" w:rsidRPr="003A0C93" w:rsidRDefault="00D756CF" w:rsidP="00D756CF">
      <w:pPr>
        <w:pStyle w:val="Akapitzlist"/>
        <w:numPr>
          <w:ilvl w:val="0"/>
          <w:numId w:val="6"/>
        </w:numPr>
        <w:spacing w:after="120"/>
        <w:ind w:left="425" w:hanging="425"/>
        <w:contextualSpacing w:val="0"/>
        <w:jc w:val="both"/>
      </w:pPr>
      <w:r w:rsidRPr="003A0C93">
        <w:t>Wykonawca będzie zobowiązany do pr</w:t>
      </w:r>
      <w:r>
        <w:t>zekazania Zamawiającemu pliku z</w:t>
      </w:r>
      <w:r w:rsidRPr="003A0C93">
        <w:t xml:space="preserve"> fontem</w:t>
      </w:r>
      <w:r>
        <w:t xml:space="preserve"> </w:t>
      </w:r>
      <w:r w:rsidR="00035B28">
        <w:t xml:space="preserve">danego </w:t>
      </w:r>
      <w:r>
        <w:t xml:space="preserve">pisma, </w:t>
      </w:r>
      <w:r w:rsidR="00035B28">
        <w:t>dla którego opracowywane były nazwy w oryginalnych zapisach niełacińskich.</w:t>
      </w:r>
    </w:p>
    <w:p w:rsidR="00035B28" w:rsidRDefault="00035B28" w:rsidP="00B637DF">
      <w:pPr>
        <w:pStyle w:val="Tekstpodstawowywcity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120" w:line="360" w:lineRule="auto"/>
        <w:ind w:left="284" w:right="23" w:hanging="284"/>
        <w:jc w:val="both"/>
        <w:rPr>
          <w:b/>
          <w:bCs/>
        </w:rPr>
      </w:pPr>
      <w:r>
        <w:rPr>
          <w:b/>
          <w:bCs/>
        </w:rPr>
        <w:t>3. Zasady opracowania oryginalnych zapisów niełacińskich dla nazw zawartych</w:t>
      </w:r>
    </w:p>
    <w:p w:rsidR="00035B28" w:rsidRPr="00035B28" w:rsidRDefault="00B637DF" w:rsidP="00B637DF">
      <w:pPr>
        <w:pStyle w:val="Tekstpodstawowywcity2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ind w:left="284" w:right="23" w:hanging="284"/>
        <w:jc w:val="both"/>
        <w:rPr>
          <w:rFonts w:eastAsia="TimesNewRomanPSMT"/>
          <w:bCs/>
          <w:szCs w:val="20"/>
        </w:rPr>
      </w:pPr>
      <w:r>
        <w:rPr>
          <w:b/>
          <w:bCs/>
        </w:rPr>
        <w:t xml:space="preserve">    </w:t>
      </w:r>
      <w:r w:rsidR="00035B28">
        <w:rPr>
          <w:b/>
          <w:bCs/>
        </w:rPr>
        <w:t xml:space="preserve">w </w:t>
      </w:r>
      <w:r w:rsidR="00035B28">
        <w:rPr>
          <w:b/>
          <w:bCs/>
          <w:i/>
          <w:iCs/>
        </w:rPr>
        <w:t>Urzędowym wykazie polskich nazw geograficznych świata</w:t>
      </w:r>
      <w:r w:rsidR="00035B28">
        <w:rPr>
          <w:b/>
          <w:bCs/>
          <w:iCs/>
        </w:rPr>
        <w:t xml:space="preserve"> przyjęte przez KSNG</w:t>
      </w:r>
    </w:p>
    <w:p w:rsidR="00F67C06" w:rsidRDefault="00F67C06" w:rsidP="00D756CF">
      <w:pPr>
        <w:pStyle w:val="Tekstpodstawowywcity2"/>
        <w:spacing w:line="264" w:lineRule="auto"/>
        <w:ind w:left="360" w:right="23" w:firstLine="0"/>
        <w:rPr>
          <w:bCs/>
        </w:rPr>
      </w:pPr>
    </w:p>
    <w:p w:rsidR="000C687F" w:rsidRPr="005231EF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 oryginalnym pismem niełacińskim należy dodać dla każdej, uwzględnionej </w:t>
      </w:r>
      <w:r>
        <w:rPr>
          <w:rFonts w:eastAsia="TimesNewRomanPSMT"/>
          <w:bCs/>
          <w:szCs w:val="20"/>
        </w:rPr>
        <w:br/>
      </w:r>
      <w:r>
        <w:rPr>
          <w:bCs/>
        </w:rPr>
        <w:t xml:space="preserve">w </w:t>
      </w:r>
      <w:r>
        <w:rPr>
          <w:bCs/>
          <w:i/>
          <w:iCs/>
        </w:rPr>
        <w:t>Urzędowym wykazie polskich nazw geograficznych świata</w:t>
      </w:r>
      <w:r>
        <w:rPr>
          <w:rFonts w:eastAsia="TimesNewRomanPSMT"/>
          <w:bCs/>
          <w:szCs w:val="20"/>
        </w:rPr>
        <w:t>, obcej nazwy (endonimu) oryginalnie zapisanej w języku posługującym się niełacińskim systemem pisma.</w:t>
      </w:r>
    </w:p>
    <w:p w:rsidR="000C687F" w:rsidRPr="000C687F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Dodany zapis pismem niełacińskim należy oznaczyć </w:t>
      </w:r>
      <w:r w:rsidRPr="006212E9">
        <w:rPr>
          <w:rFonts w:eastAsia="TimesNewRomanPSMT"/>
          <w:bCs/>
          <w:color w:val="FF0000"/>
          <w:szCs w:val="20"/>
        </w:rPr>
        <w:t>kolorem czerwonym</w:t>
      </w:r>
      <w:r w:rsidR="000C687F">
        <w:rPr>
          <w:rFonts w:eastAsia="TimesNewRomanPSMT"/>
          <w:bCs/>
          <w:szCs w:val="20"/>
        </w:rPr>
        <w:t>.</w:t>
      </w:r>
    </w:p>
    <w:p w:rsidR="005231EF" w:rsidRDefault="006212E9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0C687F">
        <w:rPr>
          <w:rFonts w:eastAsia="TimesNewRomanPSMT"/>
          <w:bCs/>
          <w:szCs w:val="20"/>
        </w:rPr>
        <w:t xml:space="preserve">Dodając zapis oryginalnym pismem niełacińskim należy także zweryfikować podaną </w:t>
      </w:r>
      <w:r w:rsidRPr="000C687F">
        <w:rPr>
          <w:rFonts w:eastAsia="TimesNewRomanPSMT"/>
          <w:bCs/>
          <w:szCs w:val="20"/>
        </w:rPr>
        <w:br/>
        <w:t xml:space="preserve">w wykazie formę zlatynizowaną – czy latynizacja jest podana poprawnie. W razie stwierdzenia błędu w zapisie zlatynizowanym należy dokonać poprawy, a poprawioną treść </w:t>
      </w:r>
      <w:r w:rsidRPr="000C687F">
        <w:rPr>
          <w:rFonts w:eastAsia="TimesNewRomanPSMT"/>
          <w:bCs/>
          <w:szCs w:val="20"/>
          <w:highlight w:val="yellow"/>
        </w:rPr>
        <w:t>wyróżnić żółtym tłem</w:t>
      </w:r>
      <w:r w:rsidRPr="000C687F">
        <w:rPr>
          <w:rFonts w:eastAsia="TimesNewRomanPSMT"/>
          <w:bCs/>
          <w:szCs w:val="20"/>
        </w:rPr>
        <w:t>.</w:t>
      </w:r>
    </w:p>
    <w:p w:rsidR="005231EF" w:rsidRDefault="006212E9" w:rsidP="005231EF">
      <w:pPr>
        <w:pStyle w:val="Tekstpodstawowywcity2"/>
        <w:numPr>
          <w:ilvl w:val="0"/>
          <w:numId w:val="7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Oryginalny zapis niełaciński należy zamieścić bezpośrednio przed zapisem (lub zapisami) zlatynizowanym danej nazwy, stosując zapis pismem</w:t>
      </w:r>
      <w:r w:rsidR="005231EF">
        <w:rPr>
          <w:rFonts w:eastAsia="TimesNewRomanPSMT"/>
          <w:bCs/>
          <w:szCs w:val="20"/>
        </w:rPr>
        <w:t xml:space="preserve"> prostym (fontem TimesNewRoman </w:t>
      </w:r>
      <w:r w:rsidRPr="005231EF">
        <w:rPr>
          <w:rFonts w:eastAsia="TimesNewRomanPSMT"/>
          <w:bCs/>
          <w:szCs w:val="20"/>
        </w:rPr>
        <w:t>o ile jest dostępny dla danego pism</w:t>
      </w:r>
      <w:r w:rsidR="005231EF">
        <w:rPr>
          <w:rFonts w:eastAsia="TimesNewRomanPSMT"/>
          <w:bCs/>
          <w:szCs w:val="20"/>
        </w:rPr>
        <w:t>a, np. dla cyrylicy, greckiego.</w:t>
      </w:r>
    </w:p>
    <w:p w:rsidR="005231EF" w:rsidRDefault="005231EF" w:rsidP="005231EF">
      <w:pPr>
        <w:pStyle w:val="Tekstpodstawowywcity2"/>
        <w:numPr>
          <w:ilvl w:val="0"/>
          <w:numId w:val="7"/>
        </w:numPr>
        <w:tabs>
          <w:tab w:val="left" w:pos="426"/>
        </w:tabs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W</w:t>
      </w:r>
      <w:r w:rsidR="006212E9" w:rsidRPr="005231EF">
        <w:rPr>
          <w:rFonts w:eastAsia="TimesNewRomanPSMT"/>
          <w:bCs/>
          <w:szCs w:val="20"/>
        </w:rPr>
        <w:t xml:space="preserve"> przypadku zastosowania niestandardowych czcionek</w:t>
      </w:r>
      <w:r w:rsidR="00765781">
        <w:rPr>
          <w:rFonts w:eastAsia="TimesNewRomanPSMT"/>
          <w:bCs/>
          <w:szCs w:val="20"/>
        </w:rPr>
        <w:t>,</w:t>
      </w:r>
      <w:r w:rsidR="006212E9" w:rsidRPr="005231EF">
        <w:rPr>
          <w:rFonts w:eastAsia="TimesNewRomanPSMT"/>
          <w:bCs/>
          <w:szCs w:val="20"/>
        </w:rPr>
        <w:t xml:space="preserve"> plik tej czcionki n</w:t>
      </w:r>
      <w:r w:rsidRPr="005231EF">
        <w:rPr>
          <w:rFonts w:eastAsia="TimesNewRomanPSMT"/>
          <w:bCs/>
          <w:szCs w:val="20"/>
        </w:rPr>
        <w:t>ależy dołączyć do opracowania).</w:t>
      </w:r>
    </w:p>
    <w:p w:rsidR="006212E9" w:rsidRPr="005231EF" w:rsidRDefault="005231EF" w:rsidP="005231EF">
      <w:pPr>
        <w:pStyle w:val="Tekstpodstawowywcity2"/>
        <w:numPr>
          <w:ilvl w:val="0"/>
          <w:numId w:val="7"/>
        </w:numPr>
        <w:tabs>
          <w:tab w:val="left" w:pos="426"/>
        </w:tabs>
        <w:spacing w:after="24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 w:rsidRPr="005231EF">
        <w:rPr>
          <w:rFonts w:eastAsia="TimesNewRomanPSMT"/>
          <w:bCs/>
          <w:szCs w:val="20"/>
        </w:rPr>
        <w:t>Z</w:t>
      </w:r>
      <w:r w:rsidR="006212E9" w:rsidRPr="005231EF">
        <w:rPr>
          <w:rFonts w:eastAsia="TimesNewRomanPSMT"/>
          <w:bCs/>
          <w:szCs w:val="20"/>
        </w:rPr>
        <w:t>apis niełaciński należy oddzielić od zapisu zlatynizowanego półpauzą ze spacjami,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Sofia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  <w:lang w:val="de-DE"/>
        </w:rPr>
        <w:t>София –</w:t>
      </w:r>
      <w:r>
        <w:rPr>
          <w:sz w:val="20"/>
          <w:szCs w:val="20"/>
          <w:lang w:val="de-DE"/>
        </w:rPr>
        <w:t xml:space="preserve"> Sofia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Sofija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42°42′00″N, 23°19′00″E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Prespa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Преспанско</w:t>
      </w:r>
      <w:r>
        <w:rPr>
          <w:color w:val="FF0000"/>
          <w:sz w:val="20"/>
          <w:szCs w:val="20"/>
          <w:lang w:val="de-DE"/>
        </w:rPr>
        <w:t xml:space="preserve"> </w:t>
      </w:r>
      <w:r>
        <w:rPr>
          <w:color w:val="FF0000"/>
          <w:sz w:val="20"/>
          <w:szCs w:val="20"/>
        </w:rPr>
        <w:t>Езеро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Prespansko Ezero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Prespansko Ezero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40°55′N, 21°02′E (40°53′N, 21°01′E)</w:t>
      </w:r>
      <w:r>
        <w:rPr>
          <w:sz w:val="20"/>
          <w:szCs w:val="20"/>
          <w:lang w:val="de-DE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[</w:t>
      </w:r>
      <w:r>
        <w:rPr>
          <w:i/>
          <w:iCs/>
          <w:sz w:val="20"/>
          <w:lang w:val="de-DE"/>
        </w:rPr>
        <w:t>również Albania, Grecja</w:t>
      </w:r>
      <w:r>
        <w:rPr>
          <w:rFonts w:eastAsia="TimesNewRomanPSMT"/>
          <w:sz w:val="20"/>
          <w:szCs w:val="20"/>
          <w:lang w:val="de-DE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Iwano-Frankiwsk</w:t>
      </w:r>
      <w:r>
        <w:rPr>
          <w:sz w:val="20"/>
          <w:szCs w:val="20"/>
          <w:lang w:val="de-DE"/>
        </w:rPr>
        <w:t xml:space="preserve">; </w:t>
      </w:r>
      <w:r>
        <w:rPr>
          <w:rFonts w:ascii="Calibri" w:hAnsi="Calibri"/>
          <w:b/>
          <w:bCs/>
          <w:sz w:val="20"/>
          <w:szCs w:val="20"/>
          <w:lang w:val="de-DE"/>
        </w:rPr>
        <w:t>Stanisławów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Івано</w:t>
      </w:r>
      <w:r>
        <w:rPr>
          <w:color w:val="FF0000"/>
          <w:sz w:val="20"/>
          <w:szCs w:val="20"/>
          <w:lang w:val="de-DE"/>
        </w:rPr>
        <w:t>-</w:t>
      </w:r>
      <w:r>
        <w:rPr>
          <w:color w:val="FF0000"/>
          <w:sz w:val="20"/>
          <w:szCs w:val="20"/>
        </w:rPr>
        <w:t>Франківськ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Ivano-Frankivsk (</w:t>
      </w:r>
      <w:r>
        <w:rPr>
          <w:i/>
          <w:sz w:val="20"/>
          <w:szCs w:val="20"/>
          <w:lang w:val="de-DE"/>
        </w:rPr>
        <w:t>trl.</w:t>
      </w:r>
      <w:r>
        <w:rPr>
          <w:sz w:val="20"/>
          <w:szCs w:val="20"/>
          <w:lang w:val="de-DE"/>
        </w:rPr>
        <w:t>), Iwano-Frankiwśk (</w:t>
      </w:r>
      <w:r>
        <w:rPr>
          <w:i/>
          <w:iCs/>
          <w:sz w:val="20"/>
          <w:szCs w:val="20"/>
          <w:lang w:val="de-DE"/>
        </w:rPr>
        <w:t>trb.</w:t>
      </w:r>
      <w:r>
        <w:rPr>
          <w:sz w:val="20"/>
          <w:szCs w:val="20"/>
          <w:lang w:val="de-DE"/>
        </w:rPr>
        <w:t xml:space="preserve">); </w:t>
      </w:r>
      <w:r>
        <w:rPr>
          <w:i/>
          <w:iCs/>
          <w:sz w:val="20"/>
          <w:szCs w:val="20"/>
          <w:lang w:val="de-DE"/>
        </w:rPr>
        <w:t>48°55′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N, 24°42′</w:t>
      </w:r>
      <w:r>
        <w:rPr>
          <w:i/>
          <w:iCs/>
          <w:sz w:val="20"/>
          <w:lang w:val="de-DE" w:eastAsia="ko-KR"/>
        </w:rPr>
        <w:t>30″</w:t>
      </w:r>
      <w:r>
        <w:rPr>
          <w:i/>
          <w:iCs/>
          <w:sz w:val="20"/>
          <w:szCs w:val="20"/>
          <w:lang w:val="de-DE"/>
        </w:rPr>
        <w:t>E</w:t>
      </w:r>
      <w:r>
        <w:rPr>
          <w:i/>
          <w:iCs/>
          <w:sz w:val="20"/>
          <w:lang w:val="de-DE" w:eastAsia="ko-KR"/>
        </w:rPr>
        <w:t xml:space="preserve"> </w:t>
      </w:r>
      <w:r>
        <w:rPr>
          <w:sz w:val="20"/>
          <w:lang w:val="de-DE" w:eastAsia="ko-KR"/>
        </w:rPr>
        <w:t>[</w:t>
      </w:r>
      <w:r>
        <w:rPr>
          <w:i/>
          <w:iCs/>
          <w:sz w:val="20"/>
          <w:lang w:val="de-DE" w:eastAsia="ko-KR"/>
        </w:rPr>
        <w:t>obwód iwanofrankiwski</w:t>
      </w:r>
      <w:r>
        <w:rPr>
          <w:sz w:val="20"/>
          <w:lang w:val="de-DE" w:eastAsia="ko-KR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Saloniki</w:t>
      </w:r>
      <w:r>
        <w:rPr>
          <w:sz w:val="20"/>
          <w:szCs w:val="20"/>
          <w:lang w:val="de-DE"/>
        </w:rPr>
        <w:t xml:space="preserve">; </w:t>
      </w:r>
      <w:r>
        <w:rPr>
          <w:color w:val="FF0000"/>
          <w:sz w:val="20"/>
          <w:szCs w:val="20"/>
        </w:rPr>
        <w:t>Θεσσαλονίκη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Thessaloníkī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Tesaloniki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40°38′00″N, 22°57′00″E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Erywań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Երևան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Yerevan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Jerewan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40°11′00″N, 44°31′00″E</w:t>
      </w:r>
    </w:p>
    <w:p w:rsidR="00035B28" w:rsidRDefault="00035B28" w:rsidP="00035B28">
      <w:pPr>
        <w:ind w:left="600" w:hanging="458"/>
        <w:rPr>
          <w:iCs/>
          <w:sz w:val="20"/>
          <w:szCs w:val="20"/>
          <w:lang w:val="de-DE"/>
        </w:rPr>
      </w:pPr>
      <w:r>
        <w:rPr>
          <w:rFonts w:ascii="Calibri" w:hAnsi="Calibri"/>
          <w:b/>
          <w:bCs/>
          <w:iCs/>
          <w:sz w:val="20"/>
          <w:szCs w:val="20"/>
          <w:lang w:val="de-DE"/>
        </w:rPr>
        <w:lastRenderedPageBreak/>
        <w:t>Wyżyna Lessowa</w:t>
      </w:r>
      <w:r>
        <w:rPr>
          <w:iCs/>
          <w:sz w:val="20"/>
          <w:szCs w:val="20"/>
          <w:lang w:val="de-DE"/>
        </w:rPr>
        <w:t xml:space="preserve">; </w:t>
      </w:r>
      <w:r>
        <w:rPr>
          <w:rFonts w:ascii="MS Mincho" w:eastAsia="MS Mincho" w:hAnsi="MS Mincho" w:cs="MS Mincho" w:hint="eastAsia"/>
          <w:iCs/>
          <w:color w:val="FF0000"/>
          <w:sz w:val="20"/>
          <w:szCs w:val="20"/>
          <w:lang w:val="de-DE"/>
        </w:rPr>
        <w:t>黄土高原</w:t>
      </w:r>
      <w:r>
        <w:rPr>
          <w:rFonts w:eastAsia="MS Mincho"/>
          <w:iCs/>
          <w:color w:val="FF0000"/>
          <w:sz w:val="20"/>
          <w:szCs w:val="20"/>
          <w:lang w:val="de-DE"/>
        </w:rPr>
        <w:t xml:space="preserve"> 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iCs/>
          <w:sz w:val="20"/>
          <w:szCs w:val="20"/>
          <w:lang w:val="de-DE"/>
        </w:rPr>
        <w:t>Huangtu Gaoyuan;</w:t>
      </w:r>
      <w:r>
        <w:rPr>
          <w:i/>
          <w:iCs/>
          <w:sz w:val="20"/>
          <w:lang w:val="de-DE"/>
        </w:rPr>
        <w:t xml:space="preserve"> 36°00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N, 109°00</w:t>
      </w:r>
      <w:r>
        <w:rPr>
          <w:i/>
          <w:iCs/>
          <w:sz w:val="20"/>
          <w:lang w:val="de-DE" w:eastAsia="ko-KR"/>
        </w:rPr>
        <w:t>′</w:t>
      </w:r>
      <w:r>
        <w:rPr>
          <w:i/>
          <w:iCs/>
          <w:sz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Meschetia</w:t>
      </w:r>
      <w:r>
        <w:rPr>
          <w:sz w:val="20"/>
          <w:szCs w:val="20"/>
          <w:lang w:val="de-DE"/>
        </w:rPr>
        <w:t xml:space="preserve">; </w:t>
      </w:r>
      <w:r>
        <w:rPr>
          <w:rFonts w:ascii="Sylfaen" w:hAnsi="Sylfaen" w:cs="Sylfaen"/>
          <w:color w:val="FF0000"/>
          <w:sz w:val="20"/>
          <w:szCs w:val="20"/>
          <w:lang w:val="de-DE"/>
        </w:rPr>
        <w:t>მესხეთი –</w:t>
      </w:r>
      <w:r>
        <w:rPr>
          <w:rFonts w:ascii="Sylfaen" w:hAnsi="Sylfaen" w:cs="Sylfaen"/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Meskheti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Mescheti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sz w:val="20"/>
          <w:szCs w:val="20"/>
          <w:lang w:val="de-DE"/>
        </w:rPr>
        <w:t xml:space="preserve"> 41°40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N, 42°50</w:t>
      </w:r>
      <w:r>
        <w:rPr>
          <w:i/>
          <w:iCs/>
          <w:sz w:val="20"/>
          <w:lang w:val="de-DE" w:eastAsia="ko-KR"/>
        </w:rPr>
        <w:t>′</w:t>
      </w:r>
      <w:r>
        <w:rPr>
          <w:i/>
          <w:sz w:val="20"/>
          <w:szCs w:val="20"/>
          <w:lang w:val="de-DE"/>
        </w:rPr>
        <w:t>E</w:t>
      </w:r>
    </w:p>
    <w:p w:rsidR="00035B28" w:rsidRDefault="00035B28" w:rsidP="00035B28">
      <w:pPr>
        <w:ind w:left="600" w:hanging="458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sz w:val="20"/>
          <w:szCs w:val="20"/>
          <w:lang w:val="de-DE"/>
        </w:rPr>
        <w:t>Namcze Bazar</w:t>
      </w:r>
      <w:r>
        <w:rPr>
          <w:sz w:val="20"/>
          <w:szCs w:val="20"/>
          <w:lang w:val="de-DE"/>
        </w:rPr>
        <w:t xml:space="preserve">; </w:t>
      </w:r>
      <w:r>
        <w:rPr>
          <w:rFonts w:ascii="Mangal" w:hAnsi="Mangal" w:cs="Mangal"/>
          <w:color w:val="FF0000"/>
          <w:sz w:val="20"/>
          <w:szCs w:val="20"/>
          <w:lang w:val="de-DE"/>
        </w:rPr>
        <w:t>नाम्चे</w:t>
      </w:r>
      <w:r>
        <w:rPr>
          <w:color w:val="FF0000"/>
          <w:sz w:val="20"/>
          <w:szCs w:val="20"/>
          <w:lang w:val="de-DE"/>
        </w:rPr>
        <w:t xml:space="preserve"> </w:t>
      </w:r>
      <w:r>
        <w:rPr>
          <w:rFonts w:ascii="Mangal" w:hAnsi="Mangal" w:cs="Mangal"/>
          <w:color w:val="FF0000"/>
          <w:sz w:val="20"/>
          <w:szCs w:val="20"/>
          <w:lang w:val="de-DE"/>
        </w:rPr>
        <w:t>बजार</w:t>
      </w:r>
      <w:r>
        <w:rPr>
          <w:color w:val="FF0000"/>
          <w:sz w:val="20"/>
          <w:szCs w:val="20"/>
          <w:lang w:val="de-DE"/>
        </w:rPr>
        <w:t xml:space="preserve"> –</w:t>
      </w:r>
      <w:r>
        <w:rPr>
          <w:sz w:val="20"/>
          <w:szCs w:val="20"/>
          <w:lang w:val="de-DE"/>
        </w:rPr>
        <w:t xml:space="preserve"> Nāmce Bajār (</w:t>
      </w:r>
      <w:r>
        <w:rPr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Namće Badźar (</w:t>
      </w:r>
      <w:r>
        <w:rPr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27°48′15″N, 86°42′40″E</w:t>
      </w:r>
    </w:p>
    <w:p w:rsidR="006212E9" w:rsidRPr="0030054C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szCs w:val="22"/>
        </w:rPr>
      </w:pPr>
      <w:r>
        <w:rPr>
          <w:szCs w:val="22"/>
        </w:rPr>
        <w:t xml:space="preserve">Jeżeli dla danego obiektu podano kilka endonimów w danym języku, </w:t>
      </w:r>
      <w:r>
        <w:rPr>
          <w:rFonts w:eastAsia="TimesNewRomanPSMT"/>
          <w:bCs/>
          <w:szCs w:val="20"/>
        </w:rPr>
        <w:t>oryginalny zapis niełaciński należy zamieścić przed każdym z nich</w:t>
      </w:r>
      <w:r>
        <w:rPr>
          <w:szCs w:val="22"/>
        </w:rPr>
        <w:t>, np.: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Błagojewgrad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</w:rPr>
        <w:t>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Област Благоевград –</w:t>
      </w:r>
      <w:r>
        <w:rPr>
          <w:sz w:val="20"/>
        </w:rPr>
        <w:t xml:space="preserve"> </w:t>
      </w:r>
      <w:r>
        <w:rPr>
          <w:sz w:val="20"/>
          <w:szCs w:val="20"/>
        </w:rPr>
        <w:t>Oblast Blagoevgrad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Obłast Błagoewgrad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41°45′N, 23°25′E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Nizina Tracka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>Тракийска низина –</w:t>
      </w:r>
      <w:r>
        <w:rPr>
          <w:sz w:val="20"/>
          <w:szCs w:val="20"/>
        </w:rPr>
        <w:t xml:space="preserve"> Trakiyska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Trakijska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sz w:val="20"/>
        </w:rPr>
        <w:t xml:space="preserve"> </w:t>
      </w:r>
      <w:r>
        <w:rPr>
          <w:color w:val="FF0000"/>
          <w:sz w:val="20"/>
        </w:rPr>
        <w:t>Маричина низина</w:t>
      </w:r>
      <w:r>
        <w:rPr>
          <w:color w:val="FF0000"/>
          <w:sz w:val="20"/>
          <w:szCs w:val="20"/>
        </w:rPr>
        <w:t xml:space="preserve"> –</w:t>
      </w:r>
      <w:r>
        <w:rPr>
          <w:sz w:val="20"/>
          <w:szCs w:val="20"/>
        </w:rPr>
        <w:t xml:space="preserve"> Marichina nizina (</w:t>
      </w:r>
      <w:r>
        <w:rPr>
          <w:i/>
          <w:iCs/>
          <w:sz w:val="20"/>
          <w:szCs w:val="20"/>
        </w:rPr>
        <w:t>trl</w:t>
      </w:r>
      <w:r>
        <w:rPr>
          <w:sz w:val="20"/>
          <w:szCs w:val="20"/>
        </w:rPr>
        <w:t>.), Mariczina nizina (</w:t>
      </w:r>
      <w:r>
        <w:rPr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lang w:eastAsia="ko-KR"/>
        </w:rPr>
        <w:t xml:space="preserve"> 42°05′N, 25°30′E (41°45′N, 26°15′E)</w:t>
      </w:r>
      <w:r>
        <w:rPr>
          <w:sz w:val="20"/>
        </w:rPr>
        <w:t xml:space="preserve"> [</w:t>
      </w:r>
      <w:r>
        <w:rPr>
          <w:i/>
          <w:iCs/>
          <w:sz w:val="20"/>
        </w:rPr>
        <w:t>również Grecja, Turcja</w:t>
      </w:r>
      <w:r>
        <w:rPr>
          <w:sz w:val="20"/>
        </w:rPr>
        <w:t>]</w:t>
      </w:r>
    </w:p>
    <w:p w:rsidR="00035B28" w:rsidRDefault="00035B28" w:rsidP="00035B28">
      <w:pPr>
        <w:autoSpaceDE w:val="0"/>
        <w:autoSpaceDN w:val="0"/>
        <w:adjustRightInd w:val="0"/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Kotlina Pelagońska</w:t>
      </w:r>
      <w:r>
        <w:rPr>
          <w:sz w:val="20"/>
          <w:szCs w:val="20"/>
        </w:rPr>
        <w:t xml:space="preserve">; </w:t>
      </w:r>
      <w:r>
        <w:rPr>
          <w:color w:val="FF0000"/>
          <w:sz w:val="20"/>
          <w:szCs w:val="20"/>
        </w:rPr>
        <w:t xml:space="preserve">Пелагонија – </w:t>
      </w:r>
      <w:r>
        <w:rPr>
          <w:sz w:val="20"/>
          <w:szCs w:val="20"/>
        </w:rPr>
        <w:t>Pelagonija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color w:val="FF0000"/>
          <w:sz w:val="20"/>
          <w:szCs w:val="20"/>
        </w:rPr>
        <w:t xml:space="preserve">Пелагониска котлина – </w:t>
      </w:r>
      <w:r>
        <w:rPr>
          <w:sz w:val="20"/>
          <w:szCs w:val="20"/>
        </w:rPr>
        <w:t>Pelagoniska kotlina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Pełagoniska kotlina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i/>
          <w:iCs/>
          <w:sz w:val="20"/>
          <w:szCs w:val="20"/>
        </w:rPr>
        <w:t xml:space="preserve"> 41°12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N, 21°27</w:t>
      </w:r>
      <w:r>
        <w:rPr>
          <w:i/>
          <w:iCs/>
          <w:sz w:val="20"/>
          <w:lang w:eastAsia="ko-KR"/>
        </w:rPr>
        <w:t>′</w:t>
      </w:r>
      <w:r>
        <w:rPr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[hist.: </w:t>
      </w:r>
      <w:r>
        <w:rPr>
          <w:rFonts w:eastAsia="TimesNewRomanPS-ItalicMT"/>
          <w:i/>
          <w:iCs/>
          <w:sz w:val="20"/>
          <w:szCs w:val="20"/>
        </w:rPr>
        <w:t>Pelagonia</w:t>
      </w:r>
      <w:r>
        <w:rPr>
          <w:sz w:val="20"/>
          <w:szCs w:val="20"/>
        </w:rPr>
        <w:t>]</w:t>
      </w:r>
    </w:p>
    <w:p w:rsidR="00035B28" w:rsidRDefault="00035B28" w:rsidP="00035B28">
      <w:pPr>
        <w:ind w:left="600" w:hanging="458"/>
        <w:rPr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Kamienny Las</w:t>
      </w:r>
      <w:r>
        <w:rPr>
          <w:sz w:val="20"/>
          <w:szCs w:val="20"/>
        </w:rPr>
        <w:t xml:space="preserve">;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云南石林</w:t>
      </w:r>
      <w:r>
        <w:rPr>
          <w:rFonts w:ascii="MS Mincho" w:eastAsia="MS Mincho" w:hAnsi="MS Mincho" w:cs="MS Mincho"/>
          <w:iCs/>
          <w:color w:val="FF0000"/>
          <w:sz w:val="20"/>
          <w:szCs w:val="20"/>
          <w:lang w:val="de-DE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Yunnan Shilin;</w:t>
      </w:r>
      <w:r>
        <w:rPr>
          <w:rFonts w:ascii="MS Mincho" w:eastAsia="MS Mincho" w:hAnsi="MS Mincho" w:cs="MS Mincho" w:hint="eastAsia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路南石林</w:t>
      </w:r>
      <w:r>
        <w:rPr>
          <w:color w:val="FF0000"/>
          <w:sz w:val="20"/>
          <w:szCs w:val="20"/>
        </w:rPr>
        <w:t xml:space="preserve"> </w:t>
      </w:r>
      <w:r>
        <w:rPr>
          <w:rFonts w:eastAsia="MS Mincho"/>
          <w:iCs/>
          <w:color w:val="FF0000"/>
          <w:sz w:val="20"/>
          <w:szCs w:val="20"/>
          <w:lang w:val="de-DE"/>
        </w:rPr>
        <w:t>–</w:t>
      </w:r>
      <w:r>
        <w:rPr>
          <w:rFonts w:ascii="MS Mincho" w:eastAsia="MS Mincho" w:hAnsi="MS Mincho" w:cs="MS Mincho"/>
          <w:iCs/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Lunan Shilin;</w:t>
      </w:r>
      <w:r>
        <w:rPr>
          <w:i/>
          <w:iCs/>
          <w:sz w:val="20"/>
          <w:lang w:eastAsia="ko-KR"/>
        </w:rPr>
        <w:t xml:space="preserve"> 24°49′00″N, 103°19′30″E</w:t>
      </w:r>
      <w:r>
        <w:rPr>
          <w:sz w:val="20"/>
          <w:szCs w:val="20"/>
        </w:rPr>
        <w:t xml:space="preserve"> [</w:t>
      </w:r>
      <w:r>
        <w:rPr>
          <w:i/>
          <w:iCs/>
          <w:sz w:val="20"/>
          <w:szCs w:val="20"/>
        </w:rPr>
        <w:t>obszar ostańców skalnych</w:t>
      </w:r>
      <w:r>
        <w:rPr>
          <w:sz w:val="20"/>
          <w:szCs w:val="20"/>
        </w:rPr>
        <w:t>]</w:t>
      </w:r>
    </w:p>
    <w:p w:rsidR="006212E9" w:rsidRPr="005231EF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>W przypadku, gdy dla danego obiektu podane są endonimy w różnych językach, oryginalny zapis niełaciński należy zamieścić pomiędzy nazwą języka z zapisem zlatynizowanym w tym języku, np.: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sz w:val="20"/>
          <w:szCs w:val="22"/>
          <w:lang w:val="de-DE"/>
        </w:rPr>
      </w:pPr>
      <w:r>
        <w:rPr>
          <w:rFonts w:ascii="Calibri" w:hAnsi="Calibri"/>
          <w:b/>
          <w:sz w:val="20"/>
          <w:szCs w:val="22"/>
        </w:rPr>
        <w:t>Mińsk</w:t>
      </w:r>
      <w:r>
        <w:rPr>
          <w:sz w:val="20"/>
          <w:szCs w:val="22"/>
        </w:rPr>
        <w:t xml:space="preserve">; </w:t>
      </w:r>
      <w:r>
        <w:rPr>
          <w:rFonts w:eastAsia="TimesNewRomanPSMT"/>
          <w:i/>
          <w:sz w:val="20"/>
          <w:szCs w:val="20"/>
        </w:rPr>
        <w:t>błr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Мінск –</w:t>
      </w:r>
      <w:r>
        <w:rPr>
          <w:rFonts w:eastAsia="TimesNewRomanPSMT"/>
          <w:sz w:val="20"/>
          <w:szCs w:val="20"/>
        </w:rPr>
        <w:t xml:space="preserve"> Minsk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rFonts w:eastAsia="TimesNewRomanPSMT"/>
          <w:sz w:val="20"/>
          <w:szCs w:val="20"/>
        </w:rPr>
        <w:t>.), Minsk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rFonts w:eastAsia="TimesNewRomanPSMT"/>
          <w:sz w:val="20"/>
          <w:szCs w:val="20"/>
        </w:rPr>
        <w:t xml:space="preserve">.); </w:t>
      </w:r>
      <w:r>
        <w:rPr>
          <w:rFonts w:eastAsia="TimesNewRomanPSMT"/>
          <w:i/>
          <w:sz w:val="20"/>
          <w:szCs w:val="20"/>
        </w:rPr>
        <w:t>ros</w:t>
      </w:r>
      <w:r>
        <w:rPr>
          <w:rFonts w:eastAsia="TimesNewRomanPSMT"/>
          <w:sz w:val="20"/>
          <w:szCs w:val="20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Минск –</w:t>
      </w:r>
      <w:r>
        <w:rPr>
          <w:rFonts w:eastAsia="TimesNewRomanPSMT"/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  <w:lang w:val="de-DE"/>
        </w:rPr>
        <w:t>Minsk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Minsk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53°54′00″N, 27°34′00″E</w:t>
      </w:r>
    </w:p>
    <w:p w:rsidR="00035B28" w:rsidRDefault="00035B28" w:rsidP="00035B28">
      <w:pPr>
        <w:pStyle w:val="Tekstpodstawowywcity2"/>
        <w:spacing w:line="264" w:lineRule="auto"/>
        <w:ind w:leftChars="59" w:left="566" w:right="23" w:hangingChars="211" w:hanging="424"/>
        <w:rPr>
          <w:iCs/>
          <w:sz w:val="20"/>
          <w:lang w:val="fr-FR"/>
        </w:rPr>
      </w:pPr>
      <w:r>
        <w:rPr>
          <w:rFonts w:ascii="Calibri" w:hAnsi="Calibri"/>
          <w:b/>
          <w:sz w:val="20"/>
          <w:lang w:val="fr-FR"/>
        </w:rPr>
        <w:t>Makau</w:t>
      </w:r>
      <w:r>
        <w:rPr>
          <w:iCs/>
          <w:sz w:val="20"/>
          <w:lang w:val="fr-FR"/>
        </w:rPr>
        <w:t xml:space="preserve">; </w:t>
      </w:r>
      <w:r>
        <w:rPr>
          <w:i/>
          <w:iCs/>
          <w:sz w:val="20"/>
          <w:szCs w:val="20"/>
          <w:lang w:val="de-DE"/>
        </w:rPr>
        <w:t>chiń</w:t>
      </w:r>
      <w:r>
        <w:rPr>
          <w:sz w:val="20"/>
          <w:szCs w:val="20"/>
          <w:lang w:val="de-DE"/>
        </w:rPr>
        <w:t xml:space="preserve">.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Aomen; </w:t>
      </w:r>
      <w:r>
        <w:rPr>
          <w:i/>
          <w:iCs/>
          <w:sz w:val="20"/>
          <w:szCs w:val="20"/>
          <w:lang w:val="de-DE"/>
        </w:rPr>
        <w:t>chiń. kant.</w:t>
      </w:r>
      <w:r>
        <w:rPr>
          <w:sz w:val="20"/>
          <w:szCs w:val="20"/>
          <w:lang w:val="de-DE"/>
        </w:rPr>
        <w:t xml:space="preserve"> </w:t>
      </w:r>
      <w:r>
        <w:rPr>
          <w:rFonts w:ascii="MS Mincho" w:eastAsia="MS Mincho" w:hAnsi="MS Mincho" w:cs="MS Mincho" w:hint="eastAsia"/>
          <w:color w:val="FF0000"/>
          <w:sz w:val="20"/>
          <w:szCs w:val="20"/>
        </w:rPr>
        <w:t>澳門</w:t>
      </w:r>
      <w:r>
        <w:rPr>
          <w:rFonts w:ascii="PMingLiU" w:eastAsia="PMingLiU" w:hAnsi="PMingLiU" w:cs="PMingLiU"/>
          <w:color w:val="FF0000"/>
          <w:sz w:val="20"/>
          <w:szCs w:val="20"/>
          <w:lang w:val="de-DE"/>
        </w:rPr>
        <w:t>–</w:t>
      </w:r>
      <w:r>
        <w:rPr>
          <w:sz w:val="20"/>
          <w:szCs w:val="20"/>
          <w:lang w:val="de-DE"/>
        </w:rPr>
        <w:t xml:space="preserve">Oumun; </w:t>
      </w:r>
      <w:r>
        <w:rPr>
          <w:i/>
          <w:iCs/>
          <w:sz w:val="20"/>
          <w:szCs w:val="20"/>
          <w:lang w:val="de-DE"/>
        </w:rPr>
        <w:t>port</w:t>
      </w:r>
      <w:r>
        <w:rPr>
          <w:sz w:val="20"/>
          <w:szCs w:val="20"/>
          <w:lang w:val="de-DE"/>
        </w:rPr>
        <w:t>. Macau;</w:t>
      </w:r>
      <w:r>
        <w:rPr>
          <w:i/>
          <w:iCs/>
          <w:sz w:val="20"/>
          <w:lang w:val="de-DE" w:eastAsia="ko-KR"/>
        </w:rPr>
        <w:t xml:space="preserve"> 22°12′00″N, 113°32′40″E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Adygeja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rFonts w:ascii="Calibri" w:hAnsi="Calibri"/>
          <w:b/>
          <w:bCs/>
          <w:sz w:val="20"/>
          <w:szCs w:val="20"/>
        </w:rPr>
        <w:t>Republika Adygei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ros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szCs w:val="20"/>
        </w:rPr>
        <w:t>Адыгея –</w:t>
      </w:r>
      <w:r>
        <w:rPr>
          <w:sz w:val="20"/>
          <w:szCs w:val="20"/>
        </w:rPr>
        <w:t xml:space="preserve">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>Республика Адыгея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</w:t>
      </w:r>
      <w:r>
        <w:rPr>
          <w:color w:val="FF0000"/>
          <w:sz w:val="20"/>
        </w:rPr>
        <w:t>Республика Адыгея (Адыгея) –</w:t>
      </w:r>
      <w:r>
        <w:rPr>
          <w:sz w:val="20"/>
        </w:rPr>
        <w:t xml:space="preserve"> </w:t>
      </w:r>
      <w:r>
        <w:rPr>
          <w:sz w:val="20"/>
          <w:szCs w:val="20"/>
        </w:rPr>
        <w:t>Respublika Adygeja (Adygeja)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Riespublika Adygieja (Adygieja)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 xml:space="preserve">.); </w:t>
      </w:r>
      <w:r>
        <w:rPr>
          <w:i/>
          <w:iCs/>
          <w:sz w:val="20"/>
          <w:szCs w:val="20"/>
        </w:rPr>
        <w:t>adygejski</w:t>
      </w:r>
      <w:r>
        <w:rPr>
          <w:sz w:val="20"/>
          <w:szCs w:val="20"/>
        </w:rPr>
        <w:t xml:space="preserve"> </w:t>
      </w:r>
      <w:r>
        <w:rPr>
          <w:color w:val="FF0000"/>
          <w:sz w:val="20"/>
        </w:rPr>
        <w:t xml:space="preserve">Адыгэ – </w:t>
      </w:r>
      <w:r>
        <w:rPr>
          <w:sz w:val="20"/>
          <w:szCs w:val="20"/>
        </w:rPr>
        <w:t xml:space="preserve">Adygè; </w:t>
      </w:r>
      <w:r>
        <w:rPr>
          <w:i/>
          <w:iCs/>
          <w:sz w:val="20"/>
        </w:rPr>
        <w:t>ofic</w:t>
      </w:r>
      <w:r>
        <w:rPr>
          <w:sz w:val="20"/>
        </w:rPr>
        <w:t xml:space="preserve">. </w:t>
      </w:r>
      <w:r>
        <w:rPr>
          <w:color w:val="FF0000"/>
          <w:sz w:val="20"/>
        </w:rPr>
        <w:t xml:space="preserve">Адыгэ Республик – </w:t>
      </w:r>
      <w:r>
        <w:rPr>
          <w:sz w:val="20"/>
          <w:szCs w:val="20"/>
          <w:lang w:val="de-DE"/>
        </w:rPr>
        <w:t>Adygè Respublik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44°45′N, 40°10′E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en-US"/>
        </w:rPr>
      </w:pPr>
      <w:r>
        <w:rPr>
          <w:rFonts w:ascii="Calibri" w:hAnsi="Calibri"/>
          <w:b/>
          <w:bCs/>
          <w:i/>
          <w:iCs/>
          <w:sz w:val="20"/>
          <w:szCs w:val="20"/>
        </w:rPr>
        <w:t>Tetowo</w:t>
      </w:r>
      <w:r>
        <w:rPr>
          <w:sz w:val="20"/>
          <w:szCs w:val="20"/>
        </w:rPr>
        <w:t xml:space="preserve">; </w:t>
      </w:r>
      <w:r>
        <w:rPr>
          <w:i/>
          <w:iCs/>
          <w:sz w:val="20"/>
          <w:szCs w:val="20"/>
        </w:rPr>
        <w:t>maced</w:t>
      </w:r>
      <w:r>
        <w:rPr>
          <w:sz w:val="20"/>
          <w:szCs w:val="20"/>
        </w:rPr>
        <w:t xml:space="preserve">. </w:t>
      </w:r>
      <w:r>
        <w:rPr>
          <w:color w:val="FF0000"/>
          <w:sz w:val="20"/>
          <w:lang w:val="en-US"/>
        </w:rPr>
        <w:t>Тетово</w:t>
      </w:r>
      <w:r>
        <w:rPr>
          <w:color w:val="FF0000"/>
          <w:sz w:val="20"/>
        </w:rPr>
        <w:t xml:space="preserve"> – </w:t>
      </w:r>
      <w:r>
        <w:rPr>
          <w:sz w:val="20"/>
          <w:szCs w:val="20"/>
        </w:rPr>
        <w:t>Tetovo (</w:t>
      </w:r>
      <w:r>
        <w:rPr>
          <w:rFonts w:eastAsia="TimesNewRomanPS-ItalicMT"/>
          <w:i/>
          <w:iCs/>
          <w:sz w:val="20"/>
          <w:szCs w:val="20"/>
        </w:rPr>
        <w:t>trl</w:t>
      </w:r>
      <w:r>
        <w:rPr>
          <w:sz w:val="20"/>
          <w:szCs w:val="20"/>
        </w:rPr>
        <w:t>.), Tetowo (</w:t>
      </w:r>
      <w:r>
        <w:rPr>
          <w:rFonts w:eastAsia="TimesNewRomanPS-ItalicMT"/>
          <w:i/>
          <w:iCs/>
          <w:sz w:val="20"/>
          <w:szCs w:val="20"/>
        </w:rPr>
        <w:t>trb</w:t>
      </w:r>
      <w:r>
        <w:rPr>
          <w:sz w:val="20"/>
          <w:szCs w:val="20"/>
        </w:rPr>
        <w:t>.);</w:t>
      </w:r>
      <w:r>
        <w:rPr>
          <w:rFonts w:eastAsia="TimesNewRomanPS-ItalicMT"/>
          <w:i/>
          <w:iCs/>
          <w:sz w:val="20"/>
          <w:szCs w:val="20"/>
        </w:rPr>
        <w:t xml:space="preserve"> alb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val="en-US"/>
        </w:rPr>
        <w:t>Tetovë, Tetova;</w:t>
      </w:r>
      <w:r>
        <w:rPr>
          <w:i/>
          <w:iCs/>
          <w:sz w:val="20"/>
          <w:lang w:val="en-US" w:eastAsia="ko-KR"/>
        </w:rPr>
        <w:t xml:space="preserve"> 42°00′30″N, 20°58′20″E</w:t>
      </w:r>
      <w:r>
        <w:rPr>
          <w:sz w:val="20"/>
          <w:szCs w:val="20"/>
          <w:lang w:val="en-US"/>
        </w:rPr>
        <w:t xml:space="preserve"> </w:t>
      </w:r>
    </w:p>
    <w:p w:rsidR="00035B28" w:rsidRDefault="00035B28" w:rsidP="00035B28">
      <w:pPr>
        <w:autoSpaceDE w:val="0"/>
        <w:autoSpaceDN w:val="0"/>
        <w:adjustRightInd w:val="0"/>
        <w:ind w:leftChars="59" w:left="566" w:hangingChars="211" w:hanging="424"/>
        <w:rPr>
          <w:sz w:val="20"/>
          <w:szCs w:val="20"/>
          <w:lang w:val="de-DE"/>
        </w:rPr>
      </w:pPr>
      <w:r>
        <w:rPr>
          <w:rFonts w:ascii="Calibri" w:hAnsi="Calibri"/>
          <w:b/>
          <w:bCs/>
          <w:i/>
          <w:iCs/>
          <w:sz w:val="20"/>
          <w:szCs w:val="20"/>
          <w:lang w:val="de-DE"/>
        </w:rPr>
        <w:t>Bendery</w:t>
      </w:r>
      <w:r>
        <w:rPr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</w:t>
      </w:r>
      <w:r>
        <w:rPr>
          <w:i/>
          <w:iCs/>
          <w:sz w:val="20"/>
          <w:szCs w:val="20"/>
          <w:lang w:val="de-DE"/>
        </w:rPr>
        <w:t>rum</w:t>
      </w:r>
      <w:r>
        <w:rPr>
          <w:rFonts w:eastAsia="TimesNewRomanPSMT"/>
          <w:sz w:val="20"/>
          <w:szCs w:val="20"/>
          <w:lang w:val="de-DE"/>
        </w:rPr>
        <w:t>.</w:t>
      </w:r>
      <w:r>
        <w:rPr>
          <w:sz w:val="20"/>
          <w:szCs w:val="20"/>
          <w:lang w:val="de-DE"/>
        </w:rPr>
        <w:t xml:space="preserve"> Bender; Tighina;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ros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Бендеры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Biendiery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en-US"/>
        </w:rPr>
        <w:t>Тигина</w:t>
      </w:r>
      <w:r>
        <w:rPr>
          <w:color w:val="FF0000"/>
          <w:sz w:val="20"/>
          <w:szCs w:val="20"/>
          <w:lang w:val="de-DE"/>
        </w:rPr>
        <w:t xml:space="preserve"> – </w:t>
      </w:r>
      <w:r>
        <w:rPr>
          <w:sz w:val="20"/>
          <w:szCs w:val="20"/>
          <w:lang w:val="de-DE"/>
        </w:rPr>
        <w:t>Tigina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Tigina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szCs w:val="20"/>
          <w:lang w:val="de-DE"/>
        </w:rPr>
        <w:t xml:space="preserve"> ukr</w:t>
      </w:r>
      <w:r>
        <w:rPr>
          <w:sz w:val="20"/>
          <w:szCs w:val="20"/>
          <w:lang w:val="de-DE"/>
        </w:rPr>
        <w:t xml:space="preserve">. </w:t>
      </w:r>
      <w:r>
        <w:rPr>
          <w:color w:val="FF0000"/>
          <w:sz w:val="20"/>
          <w:szCs w:val="16"/>
          <w:lang w:val="en-US"/>
        </w:rPr>
        <w:t>Бендери</w:t>
      </w:r>
      <w:r>
        <w:rPr>
          <w:color w:val="FF0000"/>
          <w:sz w:val="20"/>
          <w:szCs w:val="16"/>
          <w:lang w:val="de-DE"/>
        </w:rPr>
        <w:t xml:space="preserve"> – </w:t>
      </w:r>
      <w:r>
        <w:rPr>
          <w:sz w:val="20"/>
          <w:szCs w:val="20"/>
          <w:lang w:val="de-DE"/>
        </w:rPr>
        <w:t>Bendery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Bendery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 xml:space="preserve">.); </w:t>
      </w:r>
      <w:r>
        <w:rPr>
          <w:color w:val="FF0000"/>
          <w:sz w:val="20"/>
          <w:szCs w:val="20"/>
          <w:lang w:val="de-DE"/>
        </w:rPr>
        <w:t>Т</w:t>
      </w:r>
      <w:r>
        <w:rPr>
          <w:color w:val="FF0000"/>
          <w:sz w:val="20"/>
          <w:szCs w:val="16"/>
          <w:lang w:val="en-US"/>
        </w:rPr>
        <w:t>и</w:t>
      </w:r>
      <w:r>
        <w:rPr>
          <w:color w:val="FF0000"/>
          <w:sz w:val="20"/>
          <w:szCs w:val="20"/>
          <w:lang w:val="de-DE"/>
        </w:rPr>
        <w:t xml:space="preserve">ґіна – </w:t>
      </w:r>
      <w:r>
        <w:rPr>
          <w:sz w:val="20"/>
          <w:szCs w:val="20"/>
          <w:lang w:val="de-DE"/>
        </w:rPr>
        <w:t>Tygina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sz w:val="20"/>
          <w:szCs w:val="20"/>
          <w:lang w:val="de-DE"/>
        </w:rPr>
        <w:t>.), Tygina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sz w:val="20"/>
          <w:szCs w:val="20"/>
          <w:lang w:val="de-DE"/>
        </w:rPr>
        <w:t>.);</w:t>
      </w:r>
      <w:r>
        <w:rPr>
          <w:i/>
          <w:iCs/>
          <w:sz w:val="20"/>
          <w:lang w:val="de-DE" w:eastAsia="ko-KR"/>
        </w:rPr>
        <w:t xml:space="preserve"> 46°49′30″N, 29°28′50″E</w:t>
      </w:r>
    </w:p>
    <w:p w:rsidR="00035B28" w:rsidRPr="005231EF" w:rsidRDefault="00035B28" w:rsidP="005231EF">
      <w:pPr>
        <w:autoSpaceDE w:val="0"/>
        <w:autoSpaceDN w:val="0"/>
        <w:adjustRightInd w:val="0"/>
        <w:ind w:leftChars="59" w:left="566" w:hangingChars="211" w:hanging="424"/>
        <w:rPr>
          <w:rFonts w:eastAsia="TimesNewRomanPSMT"/>
          <w:sz w:val="20"/>
          <w:szCs w:val="20"/>
          <w:lang w:val="de-DE"/>
        </w:rPr>
      </w:pPr>
      <w:r>
        <w:rPr>
          <w:rFonts w:ascii="Calibri" w:eastAsia="TimesNewRomanPSMT" w:hAnsi="Calibri"/>
          <w:b/>
          <w:bCs/>
          <w:sz w:val="20"/>
          <w:szCs w:val="20"/>
          <w:lang w:val="de-DE"/>
        </w:rPr>
        <w:t>Cegiełka</w:t>
      </w:r>
      <w:r>
        <w:rPr>
          <w:rFonts w:eastAsia="TimesNewRomanPSMT"/>
          <w:sz w:val="20"/>
          <w:szCs w:val="20"/>
          <w:lang w:val="de-DE"/>
        </w:rPr>
        <w:t>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s</w:t>
      </w:r>
      <w:r>
        <w:rPr>
          <w:rFonts w:eastAsia="TimesNewRomanPS-ItalicMT" w:hint="eastAsia"/>
          <w:i/>
          <w:iCs/>
          <w:sz w:val="20"/>
          <w:szCs w:val="20"/>
          <w:lang w:val="de-DE"/>
        </w:rPr>
        <w:t>ł</w:t>
      </w:r>
      <w:r>
        <w:rPr>
          <w:rFonts w:eastAsia="TimesNewRomanPS-ItalicMT"/>
          <w:i/>
          <w:iCs/>
          <w:sz w:val="20"/>
          <w:szCs w:val="20"/>
          <w:lang w:val="de-DE"/>
        </w:rPr>
        <w:t>ow</w:t>
      </w:r>
      <w:r>
        <w:rPr>
          <w:rFonts w:eastAsia="TimesNewRomanPSMT"/>
          <w:sz w:val="20"/>
          <w:szCs w:val="20"/>
          <w:lang w:val="de-DE"/>
        </w:rPr>
        <w:t>. Cige</w:t>
      </w:r>
      <w:r>
        <w:rPr>
          <w:rFonts w:eastAsia="TimesNewRomanPSMT" w:hint="eastAsia"/>
          <w:sz w:val="20"/>
          <w:szCs w:val="20"/>
          <w:lang w:val="de-DE"/>
        </w:rPr>
        <w:t>ľ</w:t>
      </w:r>
      <w:r>
        <w:rPr>
          <w:rFonts w:eastAsia="TimesNewRomanPSMT"/>
          <w:sz w:val="20"/>
          <w:szCs w:val="20"/>
          <w:lang w:val="de-DE"/>
        </w:rPr>
        <w:t>ka;</w:t>
      </w:r>
      <w:r>
        <w:rPr>
          <w:rFonts w:eastAsia="TimesNewRomanPS-ItalicMT"/>
          <w:i/>
          <w:iCs/>
          <w:sz w:val="20"/>
          <w:szCs w:val="20"/>
          <w:lang w:val="de-DE"/>
        </w:rPr>
        <w:t xml:space="preserve"> ukr</w:t>
      </w:r>
      <w:r>
        <w:rPr>
          <w:rFonts w:eastAsia="TimesNewRomanPSMT"/>
          <w:sz w:val="20"/>
          <w:szCs w:val="20"/>
          <w:lang w:val="de-DE"/>
        </w:rPr>
        <w:t xml:space="preserve">. </w:t>
      </w:r>
      <w:r>
        <w:rPr>
          <w:rFonts w:eastAsia="TimesNewRomanPSMT"/>
          <w:color w:val="FF0000"/>
          <w:sz w:val="20"/>
          <w:szCs w:val="20"/>
        </w:rPr>
        <w:t>Цігелька</w:t>
      </w:r>
      <w:r>
        <w:rPr>
          <w:rFonts w:eastAsia="TimesNewRomanPSMT"/>
          <w:color w:val="FF0000"/>
          <w:sz w:val="20"/>
          <w:szCs w:val="20"/>
          <w:lang w:val="de-DE"/>
        </w:rPr>
        <w:t xml:space="preserve"> –</w:t>
      </w:r>
      <w:r>
        <w:rPr>
          <w:rFonts w:eastAsia="TimesNewRomanPSMT"/>
          <w:sz w:val="20"/>
          <w:szCs w:val="20"/>
          <w:lang w:val="de-DE"/>
        </w:rPr>
        <w:t xml:space="preserve"> Tsihelka (</w:t>
      </w:r>
      <w:r>
        <w:rPr>
          <w:rFonts w:eastAsia="TimesNewRomanPS-ItalicMT"/>
          <w:i/>
          <w:iCs/>
          <w:sz w:val="20"/>
          <w:szCs w:val="20"/>
          <w:lang w:val="de-DE"/>
        </w:rPr>
        <w:t>trl</w:t>
      </w:r>
      <w:r>
        <w:rPr>
          <w:rFonts w:eastAsia="TimesNewRomanPSMT"/>
          <w:sz w:val="20"/>
          <w:szCs w:val="20"/>
          <w:lang w:val="de-DE"/>
        </w:rPr>
        <w:t>.), Cihelka (</w:t>
      </w:r>
      <w:r>
        <w:rPr>
          <w:rFonts w:eastAsia="TimesNewRomanPS-ItalicMT"/>
          <w:i/>
          <w:iCs/>
          <w:sz w:val="20"/>
          <w:szCs w:val="20"/>
          <w:lang w:val="de-DE"/>
        </w:rPr>
        <w:t>trb</w:t>
      </w:r>
      <w:r>
        <w:rPr>
          <w:rFonts w:eastAsia="TimesNewRomanPSMT"/>
          <w:sz w:val="20"/>
          <w:szCs w:val="20"/>
          <w:lang w:val="de-DE"/>
        </w:rPr>
        <w:t xml:space="preserve">.); </w:t>
      </w:r>
      <w:r>
        <w:rPr>
          <w:i/>
          <w:iCs/>
          <w:sz w:val="20"/>
          <w:lang w:val="de-DE" w:eastAsia="ko-KR"/>
        </w:rPr>
        <w:t>49°24′25″N, 21°08′50″E</w:t>
      </w:r>
    </w:p>
    <w:p w:rsidR="00035B28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Dla nazw zapisanych pismem arabskim i hebrajskim należy uwzględnić znaki oddające wokalizację, takie jak znaki samogłoskowe, sukun (w arabskim), dagesz (w hebrajskim) itp. </w:t>
      </w:r>
    </w:p>
    <w:p w:rsidR="00035B28" w:rsidRDefault="00035B28" w:rsidP="005231EF">
      <w:pPr>
        <w:pStyle w:val="Tekstpodstawowywcity2"/>
        <w:numPr>
          <w:ilvl w:val="0"/>
          <w:numId w:val="7"/>
        </w:numPr>
        <w:spacing w:after="120"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W nazwach zapisanych alfabetem cyrylickim należy pominąć oznaczenie akcentów, natomiast należy zachować rozróżnienie liter </w:t>
      </w:r>
      <w:r>
        <w:rPr>
          <w:rFonts w:eastAsia="TimesNewRomanPSMT"/>
          <w:bCs/>
          <w:i/>
          <w:szCs w:val="20"/>
        </w:rPr>
        <w:t>е</w:t>
      </w:r>
      <w:r>
        <w:rPr>
          <w:rFonts w:eastAsia="TimesNewRomanPSMT"/>
          <w:bCs/>
          <w:szCs w:val="20"/>
        </w:rPr>
        <w:t xml:space="preserve"> i </w:t>
      </w:r>
      <w:r>
        <w:rPr>
          <w:rFonts w:eastAsia="TimesNewRomanPSMT"/>
          <w:bCs/>
          <w:i/>
          <w:szCs w:val="20"/>
        </w:rPr>
        <w:t>ё</w:t>
      </w:r>
      <w:r>
        <w:rPr>
          <w:rFonts w:eastAsia="TimesNewRomanPSMT"/>
          <w:bCs/>
          <w:szCs w:val="20"/>
        </w:rPr>
        <w:t xml:space="preserve"> (zwłaszcza w języku rosyjskim).</w:t>
      </w:r>
    </w:p>
    <w:p w:rsidR="00035B28" w:rsidRDefault="00035B28" w:rsidP="005231EF">
      <w:pPr>
        <w:pStyle w:val="Tekstpodstawowywcity2"/>
        <w:numPr>
          <w:ilvl w:val="0"/>
          <w:numId w:val="7"/>
        </w:numPr>
        <w:spacing w:line="264" w:lineRule="auto"/>
        <w:ind w:left="426" w:right="23" w:hanging="426"/>
        <w:jc w:val="both"/>
        <w:rPr>
          <w:rFonts w:eastAsia="TimesNewRomanPSMT"/>
          <w:bCs/>
          <w:szCs w:val="20"/>
        </w:rPr>
      </w:pPr>
      <w:r>
        <w:rPr>
          <w:rFonts w:eastAsia="TimesNewRomanPSMT"/>
          <w:bCs/>
          <w:szCs w:val="20"/>
        </w:rPr>
        <w:t xml:space="preserve">Zapisy koreańskie należy podać wyłącznie w piśmie </w:t>
      </w:r>
      <w:r>
        <w:rPr>
          <w:rFonts w:eastAsia="TimesNewRomanPSMT"/>
          <w:bCs/>
          <w:i/>
          <w:szCs w:val="20"/>
        </w:rPr>
        <w:t>hangul</w:t>
      </w:r>
      <w:r>
        <w:rPr>
          <w:rFonts w:eastAsia="TimesNewRomanPSMT"/>
          <w:bCs/>
          <w:szCs w:val="20"/>
        </w:rPr>
        <w:t xml:space="preserve"> (bez form w chińskim zapisie </w:t>
      </w:r>
      <w:r>
        <w:rPr>
          <w:rFonts w:eastAsia="TimesNewRomanPSMT"/>
          <w:bCs/>
          <w:i/>
          <w:szCs w:val="20"/>
        </w:rPr>
        <w:t>hancha</w:t>
      </w:r>
      <w:r>
        <w:rPr>
          <w:rFonts w:eastAsia="TimesNewRomanPSMT"/>
          <w:bCs/>
          <w:szCs w:val="20"/>
        </w:rPr>
        <w:t xml:space="preserve">), zaś zapisy japońskie w pismach </w:t>
      </w:r>
      <w:r>
        <w:rPr>
          <w:rFonts w:eastAsia="TimesNewRomanPSMT"/>
          <w:bCs/>
          <w:i/>
          <w:szCs w:val="20"/>
        </w:rPr>
        <w:t>kanji</w:t>
      </w:r>
      <w:r>
        <w:rPr>
          <w:rFonts w:eastAsia="TimesNewRomanPSMT"/>
          <w:bCs/>
          <w:szCs w:val="20"/>
        </w:rPr>
        <w:t xml:space="preserve"> i </w:t>
      </w:r>
      <w:r>
        <w:rPr>
          <w:rFonts w:eastAsia="TimesNewRomanPSMT"/>
          <w:bCs/>
          <w:i/>
          <w:szCs w:val="20"/>
        </w:rPr>
        <w:t>kana</w:t>
      </w:r>
      <w:r>
        <w:rPr>
          <w:rFonts w:eastAsia="TimesNewRomanPSMT"/>
          <w:bCs/>
          <w:szCs w:val="20"/>
        </w:rPr>
        <w:t xml:space="preserve"> (o ile są stosowane dla danej nazwy). </w:t>
      </w:r>
    </w:p>
    <w:p w:rsidR="00035B28" w:rsidRPr="00D756CF" w:rsidRDefault="00035B28" w:rsidP="00035B28">
      <w:pPr>
        <w:pStyle w:val="Tekstpodstawowywcity2"/>
        <w:spacing w:line="264" w:lineRule="auto"/>
        <w:ind w:left="360" w:right="23" w:firstLine="0"/>
        <w:jc w:val="both"/>
        <w:rPr>
          <w:bCs/>
        </w:rPr>
      </w:pPr>
    </w:p>
    <w:sectPr w:rsidR="00035B28" w:rsidRPr="00D756CF" w:rsidSect="00035B28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E7" w:rsidRDefault="00424BE7" w:rsidP="00035B28">
      <w:pPr>
        <w:spacing w:after="0" w:line="240" w:lineRule="auto"/>
      </w:pPr>
      <w:r>
        <w:separator/>
      </w:r>
    </w:p>
  </w:endnote>
  <w:endnote w:type="continuationSeparator" w:id="0">
    <w:p w:rsidR="00424BE7" w:rsidRDefault="00424BE7" w:rsidP="00035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1490"/>
      <w:docPartObj>
        <w:docPartGallery w:val="Page Numbers (Bottom of Page)"/>
        <w:docPartUnique/>
      </w:docPartObj>
    </w:sdtPr>
    <w:sdtEndPr/>
    <w:sdtContent>
      <w:p w:rsidR="00035B28" w:rsidRDefault="00824C3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F09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5B28" w:rsidRDefault="00035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E7" w:rsidRDefault="00424BE7" w:rsidP="00035B28">
      <w:pPr>
        <w:spacing w:after="0" w:line="240" w:lineRule="auto"/>
      </w:pPr>
      <w:r>
        <w:separator/>
      </w:r>
    </w:p>
  </w:footnote>
  <w:footnote w:type="continuationSeparator" w:id="0">
    <w:p w:rsidR="00424BE7" w:rsidRDefault="00424BE7" w:rsidP="00035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8DF"/>
    <w:multiLevelType w:val="hybridMultilevel"/>
    <w:tmpl w:val="D682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E10D1"/>
    <w:multiLevelType w:val="hybridMultilevel"/>
    <w:tmpl w:val="2348D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2479B"/>
    <w:multiLevelType w:val="hybridMultilevel"/>
    <w:tmpl w:val="114A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8279D"/>
    <w:multiLevelType w:val="hybridMultilevel"/>
    <w:tmpl w:val="693CA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44D8A"/>
    <w:multiLevelType w:val="hybridMultilevel"/>
    <w:tmpl w:val="FD544030"/>
    <w:lvl w:ilvl="0" w:tplc="E9448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2EBE"/>
    <w:multiLevelType w:val="hybridMultilevel"/>
    <w:tmpl w:val="A06E3DF4"/>
    <w:lvl w:ilvl="0" w:tplc="27623F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54A5C"/>
    <w:multiLevelType w:val="hybridMultilevel"/>
    <w:tmpl w:val="B922F2F0"/>
    <w:lvl w:ilvl="0" w:tplc="A32EB2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2CC"/>
    <w:rsid w:val="00012646"/>
    <w:rsid w:val="00035B28"/>
    <w:rsid w:val="000C687F"/>
    <w:rsid w:val="00123745"/>
    <w:rsid w:val="001A3E6E"/>
    <w:rsid w:val="001C7992"/>
    <w:rsid w:val="00223CE0"/>
    <w:rsid w:val="002D4949"/>
    <w:rsid w:val="0030054C"/>
    <w:rsid w:val="00352B1E"/>
    <w:rsid w:val="0036533B"/>
    <w:rsid w:val="003E6ACC"/>
    <w:rsid w:val="004075EE"/>
    <w:rsid w:val="00424BE7"/>
    <w:rsid w:val="004C10B8"/>
    <w:rsid w:val="005231EF"/>
    <w:rsid w:val="005332B3"/>
    <w:rsid w:val="0058222A"/>
    <w:rsid w:val="005A5E6D"/>
    <w:rsid w:val="005B11A7"/>
    <w:rsid w:val="005B280C"/>
    <w:rsid w:val="005D072B"/>
    <w:rsid w:val="005F4C78"/>
    <w:rsid w:val="006212E9"/>
    <w:rsid w:val="00642355"/>
    <w:rsid w:val="006B42CC"/>
    <w:rsid w:val="006E06D7"/>
    <w:rsid w:val="00765781"/>
    <w:rsid w:val="00776EDB"/>
    <w:rsid w:val="007C464E"/>
    <w:rsid w:val="00824C3A"/>
    <w:rsid w:val="00841E13"/>
    <w:rsid w:val="008D2B64"/>
    <w:rsid w:val="009D03CA"/>
    <w:rsid w:val="00A501F7"/>
    <w:rsid w:val="00A96D50"/>
    <w:rsid w:val="00AF098B"/>
    <w:rsid w:val="00B0545F"/>
    <w:rsid w:val="00B2115D"/>
    <w:rsid w:val="00B637DF"/>
    <w:rsid w:val="00BE2C3E"/>
    <w:rsid w:val="00C16DAF"/>
    <w:rsid w:val="00C33BF9"/>
    <w:rsid w:val="00C673B1"/>
    <w:rsid w:val="00CA54EA"/>
    <w:rsid w:val="00CB3892"/>
    <w:rsid w:val="00CE1C08"/>
    <w:rsid w:val="00D41760"/>
    <w:rsid w:val="00D756CF"/>
    <w:rsid w:val="00D86454"/>
    <w:rsid w:val="00DE7625"/>
    <w:rsid w:val="00E07909"/>
    <w:rsid w:val="00ED1861"/>
    <w:rsid w:val="00F15008"/>
    <w:rsid w:val="00F47E92"/>
    <w:rsid w:val="00F6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D90F4-A134-43A1-9D5F-C3D0FB55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2CC"/>
    <w:rPr>
      <w:rFonts w:eastAsia="Calibri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6B42CC"/>
    <w:pPr>
      <w:spacing w:after="0" w:line="240" w:lineRule="auto"/>
      <w:ind w:firstLine="708"/>
    </w:pPr>
    <w:rPr>
      <w:rFonts w:eastAsia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B42CC"/>
    <w:rPr>
      <w:rFonts w:eastAsia="Times New Roman"/>
      <w:bCs w:val="0"/>
      <w:lang w:eastAsia="pl-PL"/>
    </w:rPr>
  </w:style>
  <w:style w:type="paragraph" w:styleId="Akapitzlist">
    <w:name w:val="List Paragraph"/>
    <w:basedOn w:val="Normalny"/>
    <w:uiPriority w:val="34"/>
    <w:qFormat/>
    <w:rsid w:val="006B42CC"/>
    <w:pPr>
      <w:ind w:left="720"/>
      <w:contextualSpacing/>
    </w:pPr>
  </w:style>
  <w:style w:type="character" w:styleId="Pogrubienie">
    <w:name w:val="Strong"/>
    <w:basedOn w:val="Domylnaczcionkaakapitu"/>
    <w:qFormat/>
    <w:rsid w:val="006B42C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5B28"/>
    <w:rPr>
      <w:rFonts w:eastAsia="Calibri"/>
      <w:bCs w:val="0"/>
    </w:rPr>
  </w:style>
  <w:style w:type="paragraph" w:styleId="Stopka">
    <w:name w:val="footer"/>
    <w:basedOn w:val="Normalny"/>
    <w:link w:val="StopkaZnak"/>
    <w:uiPriority w:val="99"/>
    <w:unhideWhenUsed/>
    <w:rsid w:val="00035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B28"/>
    <w:rPr>
      <w:rFonts w:eastAsia="Calibri"/>
      <w:bCs w:val="0"/>
    </w:rPr>
  </w:style>
  <w:style w:type="character" w:styleId="Hipercze">
    <w:name w:val="Hyperlink"/>
    <w:basedOn w:val="Domylnaczcionkaakapitu"/>
    <w:semiHidden/>
    <w:rsid w:val="00E079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6D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ng.gugik.gov.pl/wpng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C8A30-AAFE-47C5-9C5B-8D02DB66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1022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Kacprzak Justyna</cp:lastModifiedBy>
  <cp:revision>5</cp:revision>
  <dcterms:created xsi:type="dcterms:W3CDTF">2019-01-14T12:35:00Z</dcterms:created>
  <dcterms:modified xsi:type="dcterms:W3CDTF">2020-03-19T14:39:00Z</dcterms:modified>
</cp:coreProperties>
</file>