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58" w:rsidRPr="005714CB" w:rsidRDefault="00552858" w:rsidP="00552858">
      <w:pPr>
        <w:jc w:val="right"/>
        <w:rPr>
          <w:rStyle w:val="Wyrnieniedelikatne"/>
        </w:rPr>
      </w:pPr>
      <w:r>
        <w:rPr>
          <w:rStyle w:val="Wyrnieniedelikatne"/>
        </w:rPr>
        <w:t xml:space="preserve">Załącznik nr </w:t>
      </w:r>
      <w:r w:rsidR="00FC7B3C">
        <w:rPr>
          <w:rStyle w:val="Wyrnieniedelikatne"/>
        </w:rPr>
        <w:t>3</w:t>
      </w:r>
      <w:bookmarkStart w:id="0" w:name="_GoBack"/>
      <w:bookmarkEnd w:id="0"/>
      <w:r w:rsidRPr="005714CB">
        <w:rPr>
          <w:rStyle w:val="Wyrnieniedelikatne"/>
        </w:rPr>
        <w:t xml:space="preserve"> do </w:t>
      </w:r>
      <w:r>
        <w:rPr>
          <w:rStyle w:val="Wyrnieniedelikatne"/>
        </w:rPr>
        <w:t>Studium Wykonalności</w:t>
      </w:r>
    </w:p>
    <w:p w:rsidR="004C4BF7" w:rsidRDefault="00A459D1" w:rsidP="00A459D1">
      <w:pPr>
        <w:pStyle w:val="Nagwek1"/>
      </w:pPr>
      <w:r>
        <w:t>Metoda wymiarowania infrastruktury wykorzystywana w ramach SIG</w:t>
      </w:r>
    </w:p>
    <w:p w:rsidR="003E6E4A" w:rsidRDefault="00EA2E08" w:rsidP="00EA2E08">
      <w:pPr>
        <w:pStyle w:val="Nagwek2"/>
      </w:pPr>
      <w:r>
        <w:t xml:space="preserve">Wprowadzenie </w:t>
      </w:r>
    </w:p>
    <w:p w:rsidR="00EE53B6" w:rsidRDefault="00A459D1">
      <w:r>
        <w:t xml:space="preserve">Przy realizacji SIG wykorzystywana jest </w:t>
      </w:r>
      <w:r w:rsidR="009E3BC4">
        <w:t xml:space="preserve">dedykowana dla potrzeb </w:t>
      </w:r>
      <w:proofErr w:type="spellStart"/>
      <w:r w:rsidR="009E3BC4">
        <w:t>GUGiK</w:t>
      </w:r>
      <w:proofErr w:type="spellEnd"/>
      <w:r w:rsidR="009E3BC4">
        <w:t xml:space="preserve"> metod</w:t>
      </w:r>
      <w:r w:rsidR="00EE53B6">
        <w:t>a</w:t>
      </w:r>
      <w:r w:rsidR="009E3BC4">
        <w:t xml:space="preserve"> wymiarowania infrastruktury sprzętowo – programowej</w:t>
      </w:r>
      <w:r w:rsidR="00EE53B6">
        <w:t xml:space="preserve">, metoda jest używana </w:t>
      </w:r>
      <w:r w:rsidR="0034453B">
        <w:t>na etapie projektowania systemów informatycznych</w:t>
      </w:r>
      <w:r w:rsidR="009E3BC4">
        <w:t xml:space="preserve">. </w:t>
      </w:r>
      <w:r w:rsidR="00EE53B6">
        <w:t xml:space="preserve">Szacowanie infrastruktury dla uruchomienia systemu uwzględnia wolumetrię systemu, co najmniej w wymiarach wymaganej pojemności przestrzeni dyskowej oraz wymagań wysokiej dostępności, które przekładają się na </w:t>
      </w:r>
      <w:r w:rsidR="00827E68">
        <w:t xml:space="preserve">stosowną </w:t>
      </w:r>
      <w:r w:rsidR="00EE53B6">
        <w:t>redundancję w infrastrukturze.</w:t>
      </w:r>
    </w:p>
    <w:p w:rsidR="00A459D1" w:rsidRDefault="0034453B">
      <w:r>
        <w:t>Niezależnie od wyników wymiarowania infrastruktury na etapie projektowania, w ramach utrzymania funkcjonuje proces zarządzania pojemnością który zajmuje się zapewnieniem wymaganego poziomu pojemności infrastruktury</w:t>
      </w:r>
      <w:r w:rsidR="00EE53B6">
        <w:t>. Funkcjonowanie procesu zarządzania pojemnością</w:t>
      </w:r>
      <w:r>
        <w:t xml:space="preserve"> zapewnia korygowanie</w:t>
      </w:r>
      <w:r w:rsidR="00EE53B6">
        <w:t xml:space="preserve"> zapotrzebowania</w:t>
      </w:r>
      <w:r>
        <w:t xml:space="preserve"> </w:t>
      </w:r>
      <w:r w:rsidR="00EE53B6">
        <w:t xml:space="preserve">na </w:t>
      </w:r>
      <w:r>
        <w:t>infrastruktur</w:t>
      </w:r>
      <w:r w:rsidR="00EE53B6">
        <w:t>ę</w:t>
      </w:r>
      <w:r>
        <w:t xml:space="preserve"> baz</w:t>
      </w:r>
      <w:r w:rsidR="00EE53B6">
        <w:t>ując</w:t>
      </w:r>
      <w:r>
        <w:t xml:space="preserve"> aktualnych informacji pochodzących z monitorowania wykorzystania (utylizacji) komponentów infrastruktury sprzętowo </w:t>
      </w:r>
      <w:r w:rsidR="00EE53B6">
        <w:t xml:space="preserve">– </w:t>
      </w:r>
      <w:r>
        <w:t>programowej.</w:t>
      </w:r>
    </w:p>
    <w:p w:rsidR="009E3BC4" w:rsidRDefault="009E3BC4" w:rsidP="009E3BC4">
      <w:r>
        <w:t>Przy tworzeniu metody uwzględniono następujące, główne założenia (pryncypia):</w:t>
      </w:r>
    </w:p>
    <w:p w:rsidR="009E3BC4" w:rsidRDefault="009E3BC4" w:rsidP="00ED2134">
      <w:pPr>
        <w:pStyle w:val="Akapitzlist"/>
        <w:numPr>
          <w:ilvl w:val="0"/>
          <w:numId w:val="12"/>
        </w:numPr>
      </w:pPr>
      <w:r>
        <w:t xml:space="preserve">Szacowanie dotyczy usług biznesowych realizowanych przez </w:t>
      </w:r>
      <w:proofErr w:type="spellStart"/>
      <w:r>
        <w:t>GUGiK</w:t>
      </w:r>
      <w:proofErr w:type="spellEnd"/>
    </w:p>
    <w:p w:rsidR="009E3BC4" w:rsidRDefault="009E3BC4" w:rsidP="00ED2134">
      <w:pPr>
        <w:pStyle w:val="Akapitzlist"/>
        <w:numPr>
          <w:ilvl w:val="0"/>
          <w:numId w:val="12"/>
        </w:numPr>
      </w:pPr>
      <w:r>
        <w:t>Wynik wymiarowania powinien być referencyjny i łatwy do weryfikacji</w:t>
      </w:r>
    </w:p>
    <w:p w:rsidR="009E3BC4" w:rsidRDefault="009E3BC4" w:rsidP="00ED2134">
      <w:pPr>
        <w:pStyle w:val="Akapitzlist"/>
        <w:numPr>
          <w:ilvl w:val="0"/>
          <w:numId w:val="12"/>
        </w:numPr>
      </w:pPr>
      <w:r>
        <w:t>Preferowane jest podejście kompleksowe nad podejściem szczegółowym</w:t>
      </w:r>
    </w:p>
    <w:p w:rsidR="004F4DF8" w:rsidRDefault="004F4DF8" w:rsidP="004F4DF8">
      <w:r>
        <w:t>Pierwsze pryncypium oznacza, że punkt wyjścia oraz wynik działania metody powinien wprost dotyczyć usług biznesowych określonych w architekturze biznesowej SIG, na którą składają się architektury biznesowe poszczególnych projektów inwestycyjnych, tj. Geoportal2, Teryt3, GBODT, ISOK, ZSIN, GESUT oraz SZTEMAP. Metoda powinna umożliwiać przełożenie celów usługi biznesowej na wymagania sprzętowo – programowe.</w:t>
      </w:r>
    </w:p>
    <w:p w:rsidR="00654C14" w:rsidRDefault="004F4DF8" w:rsidP="004F4DF8">
      <w:r>
        <w:t>Pryncypium 2 oznacza, że wynik metody wymiarowania będzie wyrażony w jednostce uznawanego testu wzorcowego (tzw. benchmarku). D</w:t>
      </w:r>
      <w:r w:rsidRPr="00751DFE">
        <w:t xml:space="preserve">zięki </w:t>
      </w:r>
      <w:r>
        <w:t>temu m</w:t>
      </w:r>
      <w:r w:rsidRPr="00751DFE">
        <w:t xml:space="preserve">ożna odnosić się </w:t>
      </w:r>
      <w:r>
        <w:t xml:space="preserve">do </w:t>
      </w:r>
      <w:r w:rsidRPr="00751DFE">
        <w:t xml:space="preserve">poziomów wydajności </w:t>
      </w:r>
      <w:r>
        <w:t>referencyjnych platform sprzętowych przetestowanych w ramach metody powiązanej z testem wzorcowym.</w:t>
      </w:r>
      <w:r w:rsidR="00EE53B6">
        <w:t xml:space="preserve"> </w:t>
      </w:r>
      <w:r w:rsidR="00654C14">
        <w:t>Pierwotnie d</w:t>
      </w:r>
      <w:r>
        <w:t xml:space="preserve">la </w:t>
      </w:r>
      <w:r w:rsidRPr="00156908">
        <w:t xml:space="preserve">opisywanej metody wymiarowania przyjęto test wzorcowy - </w:t>
      </w:r>
      <w:r w:rsidRPr="00156908">
        <w:rPr>
          <w:i/>
        </w:rPr>
        <w:t>SPECjEnterprise2010</w:t>
      </w:r>
      <w:r w:rsidRPr="00156908">
        <w:t>.</w:t>
      </w:r>
      <w:r>
        <w:t xml:space="preserve"> </w:t>
      </w:r>
      <w:r w:rsidR="003D1C63" w:rsidRPr="00552858">
        <w:t xml:space="preserve">Jednostka wynikowa testu </w:t>
      </w:r>
      <w:r w:rsidR="003D1C63" w:rsidRPr="00552858">
        <w:rPr>
          <w:i/>
        </w:rPr>
        <w:t>SPECjEnterprise2010</w:t>
      </w:r>
      <w:r w:rsidR="003D1C63" w:rsidRPr="00552858">
        <w:t xml:space="preserve"> to </w:t>
      </w:r>
      <w:proofErr w:type="spellStart"/>
      <w:r w:rsidR="003D1C63" w:rsidRPr="00552858">
        <w:t>EOpS</w:t>
      </w:r>
      <w:proofErr w:type="spellEnd"/>
      <w:r w:rsidR="003D1C63" w:rsidRPr="00552858">
        <w:t xml:space="preserve"> (Enterprise Operations per Second).  </w:t>
      </w:r>
      <w:r w:rsidRPr="00156908">
        <w:t xml:space="preserve">Jest to miara wydajności testowanego sprzętu mówiąca ile </w:t>
      </w:r>
      <w:proofErr w:type="spellStart"/>
      <w:r w:rsidRPr="00156908">
        <w:t>wysoko-poziomowych</w:t>
      </w:r>
      <w:proofErr w:type="spellEnd"/>
      <w:r w:rsidRPr="00156908">
        <w:t xml:space="preserve"> operacji biznesowych jest w stanie obsłużyć testowany sprzęt w 1 sekundzie. </w:t>
      </w:r>
      <w:r w:rsidR="00EA2E08">
        <w:t>P</w:t>
      </w:r>
      <w:r w:rsidR="00654C14">
        <w:t xml:space="preserve">o zdobyciu własnych doświadczeń </w:t>
      </w:r>
      <w:r w:rsidR="00827E68">
        <w:t xml:space="preserve">w ramach SIG </w:t>
      </w:r>
      <w:r w:rsidR="00654C14">
        <w:t xml:space="preserve">odnośnie potrzeb infrastrukturalnych wynikających z realizowanych procesów biznesowych, wyniki uzyskiwane dzięki wymiarowaniu są odnoszone do posiadanej infrastruktury, dzięki czemu dobór </w:t>
      </w:r>
      <w:r w:rsidR="00867454">
        <w:t xml:space="preserve">komponentów infrastruktury jest adekwatny do sposobów wsparcia procesów biznesowych realizowanych w </w:t>
      </w:r>
      <w:r w:rsidR="00A14ACF">
        <w:t>S</w:t>
      </w:r>
      <w:r w:rsidR="00867454">
        <w:t>IG.</w:t>
      </w:r>
    </w:p>
    <w:p w:rsidR="004F4DF8" w:rsidRDefault="004F4DF8" w:rsidP="004F4DF8">
      <w:r>
        <w:t>Pryncypium 3 oznacza, że nie powinno się badać do najmniejszego szczegółu złożoności i różnorodności przyjętych pojęć (np. usług, scenariuszy, właściwości użytkowników), tylko preferować cechy dominujące, np. uśredniając lub pomijać nieznaczące właściwości pojęć. Celem nadrzędnym jest podejście kompleksowe obejmujące wszystkie badane cechy.</w:t>
      </w:r>
    </w:p>
    <w:p w:rsidR="00EA2E08" w:rsidRDefault="00EA2E08" w:rsidP="00C61081"/>
    <w:p w:rsidR="00C61081" w:rsidRDefault="00C61081" w:rsidP="00EA2E08">
      <w:pPr>
        <w:pStyle w:val="Nagwek2"/>
      </w:pPr>
      <w:r>
        <w:lastRenderedPageBreak/>
        <w:t>Przedmiot metody</w:t>
      </w:r>
    </w:p>
    <w:p w:rsidR="00C61081" w:rsidRDefault="00C61081" w:rsidP="00C61081">
      <w:r>
        <w:t xml:space="preserve">Metoda obejmuje usługi świadczone przez projekty Geoportal2, GBDOT, ISOK, TERYT3, </w:t>
      </w:r>
      <w:r w:rsidRPr="005028CB">
        <w:t>GESUT</w:t>
      </w:r>
      <w:r>
        <w:t xml:space="preserve">, ZSIN oraz </w:t>
      </w:r>
      <w:proofErr w:type="spellStart"/>
      <w:r w:rsidRPr="005028CB">
        <w:t>SZTemMAP</w:t>
      </w:r>
      <w:proofErr w:type="spellEnd"/>
      <w:r>
        <w:t xml:space="preserve">. W szczególności zakres przedmiotowy metody został wyznaczony na podstawie ogólnego diagramu architektury systemów informatycznych </w:t>
      </w:r>
      <w:proofErr w:type="spellStart"/>
      <w:r>
        <w:t>GUGiK</w:t>
      </w:r>
      <w:proofErr w:type="spellEnd"/>
      <w:r>
        <w:t>.</w:t>
      </w:r>
    </w:p>
    <w:p w:rsidR="00C61081" w:rsidRDefault="00C61081" w:rsidP="00C61081">
      <w:pPr>
        <w:keepNext/>
      </w:pPr>
      <w:r>
        <w:rPr>
          <w:noProof/>
          <w:lang w:eastAsia="pl-PL"/>
        </w:rPr>
        <w:drawing>
          <wp:inline distT="0" distB="0" distL="0" distR="0">
            <wp:extent cx="5760720" cy="4345153"/>
            <wp:effectExtent l="19050" t="0" r="0" b="0"/>
            <wp:docPr id="2" name="Obraz 1" descr="C:\Documents and Settings\mwisniewski\Pulpit\Obszar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sniewski\Pulpit\Obszary\0.png"/>
                    <pic:cNvPicPr>
                      <a:picLocks noChangeAspect="1" noChangeArrowheads="1"/>
                    </pic:cNvPicPr>
                  </pic:nvPicPr>
                  <pic:blipFill>
                    <a:blip r:embed="rId7" cstate="print"/>
                    <a:srcRect/>
                    <a:stretch>
                      <a:fillRect/>
                    </a:stretch>
                  </pic:blipFill>
                  <pic:spPr bwMode="auto">
                    <a:xfrm>
                      <a:off x="0" y="0"/>
                      <a:ext cx="5760720" cy="4345153"/>
                    </a:xfrm>
                    <a:prstGeom prst="rect">
                      <a:avLst/>
                    </a:prstGeom>
                    <a:noFill/>
                    <a:ln w="9525">
                      <a:noFill/>
                      <a:miter lim="800000"/>
                      <a:headEnd/>
                      <a:tailEnd/>
                    </a:ln>
                  </pic:spPr>
                </pic:pic>
              </a:graphicData>
            </a:graphic>
          </wp:inline>
        </w:drawing>
      </w:r>
    </w:p>
    <w:p w:rsidR="00C61081" w:rsidRDefault="00C61081" w:rsidP="00C61081">
      <w:pPr>
        <w:pStyle w:val="Legenda"/>
        <w:jc w:val="both"/>
      </w:pPr>
      <w:bookmarkStart w:id="1" w:name="_Toc300246393"/>
      <w:r>
        <w:t xml:space="preserve">Rysunek </w:t>
      </w:r>
      <w:r w:rsidR="003D1C63">
        <w:fldChar w:fldCharType="begin"/>
      </w:r>
      <w:r>
        <w:instrText xml:space="preserve"> SEQ Rysunek \* ARABIC </w:instrText>
      </w:r>
      <w:r w:rsidR="003D1C63">
        <w:fldChar w:fldCharType="separate"/>
      </w:r>
      <w:r w:rsidR="00F90840">
        <w:rPr>
          <w:noProof/>
        </w:rPr>
        <w:t>1</w:t>
      </w:r>
      <w:r w:rsidR="003D1C63">
        <w:fldChar w:fldCharType="end"/>
      </w:r>
      <w:r>
        <w:rPr>
          <w:noProof/>
        </w:rPr>
        <w:t xml:space="preserve"> Diagram ogólny architektury systemów informatycznych GUGiK</w:t>
      </w:r>
      <w:bookmarkEnd w:id="1"/>
    </w:p>
    <w:p w:rsidR="00C61081" w:rsidRDefault="00C61081" w:rsidP="00C61081">
      <w:r>
        <w:t xml:space="preserve">Na podstawie diagramu ogólnego architektury </w:t>
      </w:r>
      <w:proofErr w:type="spellStart"/>
      <w:r>
        <w:t>GUGiK</w:t>
      </w:r>
      <w:proofErr w:type="spellEnd"/>
      <w:r>
        <w:t xml:space="preserve"> określono 4 obszary tematyczne. </w:t>
      </w:r>
    </w:p>
    <w:p w:rsidR="00C61081" w:rsidRDefault="00C61081" w:rsidP="00C61081">
      <w:pPr>
        <w:pStyle w:val="Akapitzlist"/>
        <w:numPr>
          <w:ilvl w:val="0"/>
          <w:numId w:val="8"/>
        </w:numPr>
        <w:suppressAutoHyphens/>
        <w:spacing w:before="60" w:after="60"/>
        <w:jc w:val="both"/>
      </w:pPr>
      <w:r>
        <w:t>Obszar systemów dziedzinowych</w:t>
      </w:r>
    </w:p>
    <w:p w:rsidR="00C61081" w:rsidRDefault="00C61081" w:rsidP="00C61081">
      <w:pPr>
        <w:pStyle w:val="Akapitzlist"/>
        <w:numPr>
          <w:ilvl w:val="0"/>
          <w:numId w:val="8"/>
        </w:numPr>
        <w:suppressAutoHyphens/>
        <w:spacing w:before="60" w:after="60"/>
        <w:jc w:val="both"/>
      </w:pPr>
      <w:r>
        <w:t xml:space="preserve">Obszar </w:t>
      </w:r>
      <w:proofErr w:type="spellStart"/>
      <w:r>
        <w:t>geoportali</w:t>
      </w:r>
      <w:proofErr w:type="spellEnd"/>
    </w:p>
    <w:p w:rsidR="00C61081" w:rsidRDefault="00C61081" w:rsidP="00C61081">
      <w:pPr>
        <w:pStyle w:val="Akapitzlist"/>
        <w:numPr>
          <w:ilvl w:val="0"/>
          <w:numId w:val="8"/>
        </w:numPr>
        <w:suppressAutoHyphens/>
        <w:spacing w:before="60" w:after="60"/>
        <w:jc w:val="both"/>
      </w:pPr>
      <w:r>
        <w:t>Obszar węzłów IIP</w:t>
      </w:r>
    </w:p>
    <w:p w:rsidR="00C61081" w:rsidRDefault="00C61081" w:rsidP="00C61081">
      <w:pPr>
        <w:pStyle w:val="Akapitzlist"/>
        <w:numPr>
          <w:ilvl w:val="0"/>
          <w:numId w:val="8"/>
        </w:numPr>
        <w:suppressAutoHyphens/>
        <w:spacing w:before="60" w:after="60"/>
        <w:jc w:val="both"/>
      </w:pPr>
      <w:r>
        <w:t>Obszar szyny usług i węzła centralnego IIP</w:t>
      </w:r>
    </w:p>
    <w:p w:rsidR="00C61081" w:rsidRDefault="00C61081" w:rsidP="00C61081">
      <w:r>
        <w:t>Zakres analizy każdego z obszarów tematycznych określają scenariusze, tj. przypadki ich wykorzystania przez klientów (użytkowników lub inne systemy).</w:t>
      </w:r>
    </w:p>
    <w:p w:rsidR="00C61081" w:rsidRDefault="00C61081" w:rsidP="00C61081">
      <w:r>
        <w:rPr>
          <w:lang w:eastAsia="pl-PL"/>
        </w:rPr>
        <w:t>Poszczególne obszary w znacznej części pokrywają się ze sobą, ponieważ w większości przypadków scenariusze nie ograniczają się jedynie do danego obszaru, lecz ich wykonanie wymaga interakcji z większością usług SIG. Na przykład, scenariusze z obszaru systemów dziedzinowych wymagają interakcji z usługami szyny usług i węzła centralnego. W konsekwencji, diagramy ilustrujące poszczególne obszary przedstawiają nie tyko usługi z danego obszaru, lecz również pozostałe elementy uczestniczące w scenariuszach.</w:t>
      </w:r>
    </w:p>
    <w:p w:rsidR="00654C14" w:rsidRDefault="00EA2E08" w:rsidP="00EA2E08">
      <w:pPr>
        <w:pStyle w:val="Nagwek2"/>
      </w:pPr>
      <w:r>
        <w:lastRenderedPageBreak/>
        <w:t>Proce</w:t>
      </w:r>
      <w:r w:rsidR="00F90840">
        <w:t>dura</w:t>
      </w:r>
      <w:r>
        <w:t xml:space="preserve"> wymiarowania</w:t>
      </w:r>
    </w:p>
    <w:p w:rsidR="009E3BC4" w:rsidRDefault="009E3BC4" w:rsidP="009E3BC4">
      <w:r>
        <w:t xml:space="preserve">Końcowy wynik </w:t>
      </w:r>
      <w:r w:rsidR="00B824E3">
        <w:t xml:space="preserve">wymiarowania </w:t>
      </w:r>
      <w:r>
        <w:t xml:space="preserve">wylicza się </w:t>
      </w:r>
      <w:r w:rsidR="00EA2E08">
        <w:t>zgodnie z następującą procedurą.</w:t>
      </w:r>
    </w:p>
    <w:p w:rsidR="00F90840" w:rsidRDefault="00327232" w:rsidP="00F90840">
      <w:pPr>
        <w:keepNext/>
      </w:pPr>
      <w:r>
        <w:rPr>
          <w:noProof/>
          <w:lang w:eastAsia="pl-PL"/>
        </w:rPr>
        <w:drawing>
          <wp:inline distT="0" distB="0" distL="0" distR="0">
            <wp:extent cx="5966883" cy="32004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54C14" w:rsidRDefault="00F90840" w:rsidP="00F90840">
      <w:pPr>
        <w:pStyle w:val="Legenda"/>
      </w:pPr>
      <w:r>
        <w:t xml:space="preserve">Rysunek </w:t>
      </w:r>
      <w:r w:rsidR="009657C7">
        <w:fldChar w:fldCharType="begin"/>
      </w:r>
      <w:r w:rsidR="009657C7">
        <w:instrText xml:space="preserve"> SEQ Rysunek \* ARABIC </w:instrText>
      </w:r>
      <w:r w:rsidR="009657C7">
        <w:fldChar w:fldCharType="separate"/>
      </w:r>
      <w:r>
        <w:rPr>
          <w:noProof/>
        </w:rPr>
        <w:t>2</w:t>
      </w:r>
      <w:r w:rsidR="009657C7">
        <w:rPr>
          <w:noProof/>
        </w:rPr>
        <w:fldChar w:fldCharType="end"/>
      </w:r>
      <w:r>
        <w:rPr>
          <w:noProof/>
        </w:rPr>
        <w:t xml:space="preserve"> Procedura wymiarowania</w:t>
      </w:r>
    </w:p>
    <w:p w:rsidR="00654C14" w:rsidRDefault="00654C14" w:rsidP="009E3BC4"/>
    <w:p w:rsidR="00C70A32" w:rsidRDefault="00C70A32" w:rsidP="00C70A32">
      <w:r>
        <w:t>Podstawowe wyniki uzyskane dzięki zastosowaniu metody to:</w:t>
      </w:r>
    </w:p>
    <w:p w:rsidR="00C70A32" w:rsidRDefault="00C70A32" w:rsidP="00BA132D">
      <w:pPr>
        <w:pStyle w:val="Akapitzlist"/>
        <w:numPr>
          <w:ilvl w:val="0"/>
          <w:numId w:val="11"/>
        </w:numPr>
      </w:pPr>
      <w:r>
        <w:t>Liczba operacji biznesowych w rozkładzie na usługi biznesowe SIG</w:t>
      </w:r>
    </w:p>
    <w:p w:rsidR="00C70A32" w:rsidRDefault="00C70A32" w:rsidP="00BA132D">
      <w:pPr>
        <w:pStyle w:val="Akapitzlist"/>
        <w:numPr>
          <w:ilvl w:val="0"/>
          <w:numId w:val="11"/>
        </w:numPr>
      </w:pPr>
      <w:r>
        <w:t>Liczba wolumenu danych w rozkładzie na usługi biznesowe SIG</w:t>
      </w:r>
    </w:p>
    <w:p w:rsidR="009E3BC4" w:rsidRDefault="00C70A32" w:rsidP="00BA132D">
      <w:pPr>
        <w:pStyle w:val="Akapitzlist"/>
        <w:numPr>
          <w:ilvl w:val="0"/>
          <w:numId w:val="11"/>
        </w:numPr>
      </w:pPr>
      <w:r>
        <w:t>Wskaźniki wyrażające wydajność warstwy aplikacji oraz bazodanowej wyrażone w jednostkach stanowiących standard przemysłowy</w:t>
      </w:r>
    </w:p>
    <w:p w:rsidR="00654C14" w:rsidRDefault="00654C14" w:rsidP="002C5737">
      <w:pPr>
        <w:pStyle w:val="Nagwek2"/>
      </w:pPr>
      <w:bookmarkStart w:id="2" w:name="_Toc299018783"/>
      <w:bookmarkStart w:id="3" w:name="_Toc300746637"/>
      <w:r>
        <w:t>Lista parametrów metody</w:t>
      </w:r>
      <w:bookmarkEnd w:id="2"/>
      <w:bookmarkEnd w:id="3"/>
    </w:p>
    <w:p w:rsidR="00654C14" w:rsidRPr="000B7220" w:rsidRDefault="00654C14" w:rsidP="00654C14">
      <w:pPr>
        <w:rPr>
          <w:lang w:eastAsia="pl-PL"/>
        </w:rPr>
      </w:pPr>
      <w:r>
        <w:rPr>
          <w:lang w:eastAsia="pl-PL"/>
        </w:rPr>
        <w:t>Podstawową operacją wpływającą na uzyskiwane wyniki jest modyfikacja wartości parametrów metody. Niniejszy rozdział przedstawia listę podstawowych parametrów metody w postaci tabelarycznej.</w:t>
      </w:r>
    </w:p>
    <w:p w:rsidR="00654C14" w:rsidRDefault="00654C14" w:rsidP="00654C14">
      <w:pPr>
        <w:pStyle w:val="Legenda"/>
        <w:keepNext/>
      </w:pPr>
      <w:bookmarkStart w:id="4" w:name="_Toc300246401"/>
      <w:r>
        <w:t xml:space="preserve">Tabela </w:t>
      </w:r>
      <w:r w:rsidR="003D1C63">
        <w:fldChar w:fldCharType="begin"/>
      </w:r>
      <w:r>
        <w:instrText xml:space="preserve"> SEQ Tabela \* ARABIC </w:instrText>
      </w:r>
      <w:r w:rsidR="003D1C63">
        <w:fldChar w:fldCharType="separate"/>
      </w:r>
      <w:r>
        <w:rPr>
          <w:noProof/>
        </w:rPr>
        <w:t>2</w:t>
      </w:r>
      <w:r w:rsidR="003D1C63">
        <w:fldChar w:fldCharType="end"/>
      </w:r>
      <w:r>
        <w:rPr>
          <w:noProof/>
        </w:rPr>
        <w:t xml:space="preserve"> Lista parametrów metody</w:t>
      </w:r>
      <w:bookmarkEnd w:id="4"/>
    </w:p>
    <w:tbl>
      <w:tblPr>
        <w:tblStyle w:val="Jasnasiatkaakcent3"/>
        <w:tblW w:w="0" w:type="auto"/>
        <w:tblLook w:val="04A0" w:firstRow="1" w:lastRow="0" w:firstColumn="1" w:lastColumn="0" w:noHBand="0" w:noVBand="1"/>
      </w:tblPr>
      <w:tblGrid>
        <w:gridCol w:w="2249"/>
        <w:gridCol w:w="2140"/>
        <w:gridCol w:w="2158"/>
        <w:gridCol w:w="2173"/>
      </w:tblGrid>
      <w:tr w:rsidR="00654C14" w:rsidTr="00A4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Default="00654C14" w:rsidP="00A465FF">
            <w:r>
              <w:t>Nazwa parametru</w:t>
            </w:r>
          </w:p>
        </w:tc>
        <w:tc>
          <w:tcPr>
            <w:tcW w:w="2140" w:type="dxa"/>
          </w:tcPr>
          <w:p w:rsidR="00654C14" w:rsidRPr="00356B13" w:rsidRDefault="00654C14" w:rsidP="00A465FF">
            <w:pPr>
              <w:cnfStyle w:val="100000000000" w:firstRow="1" w:lastRow="0" w:firstColumn="0" w:lastColumn="0" w:oddVBand="0" w:evenVBand="0" w:oddHBand="0" w:evenHBand="0" w:firstRowFirstColumn="0" w:firstRowLastColumn="0" w:lastRowFirstColumn="0" w:lastRowLastColumn="0"/>
            </w:pPr>
            <w:r w:rsidRPr="00356B13">
              <w:t>Opis parametru</w:t>
            </w:r>
          </w:p>
        </w:tc>
        <w:tc>
          <w:tcPr>
            <w:tcW w:w="2158" w:type="dxa"/>
          </w:tcPr>
          <w:p w:rsidR="00654C14" w:rsidRPr="00356B13" w:rsidRDefault="00654C14" w:rsidP="00A465FF">
            <w:pPr>
              <w:cnfStyle w:val="100000000000" w:firstRow="1" w:lastRow="0" w:firstColumn="0" w:lastColumn="0" w:oddVBand="0" w:evenVBand="0" w:oddHBand="0" w:evenHBand="0" w:firstRowFirstColumn="0" w:firstRowLastColumn="0" w:lastRowFirstColumn="0" w:lastRowLastColumn="0"/>
            </w:pPr>
            <w:r w:rsidRPr="00356B13">
              <w:t>Źródło</w:t>
            </w:r>
          </w:p>
        </w:tc>
        <w:tc>
          <w:tcPr>
            <w:tcW w:w="2173" w:type="dxa"/>
          </w:tcPr>
          <w:p w:rsidR="00654C14" w:rsidRPr="00356B13" w:rsidRDefault="00654C14" w:rsidP="00A465FF">
            <w:pPr>
              <w:cnfStyle w:val="100000000000" w:firstRow="1" w:lastRow="0" w:firstColumn="0" w:lastColumn="0" w:oddVBand="0" w:evenVBand="0" w:oddHBand="0" w:evenHBand="0" w:firstRowFirstColumn="0" w:firstRowLastColumn="0" w:lastRowFirstColumn="0" w:lastRowLastColumn="0"/>
            </w:pPr>
            <w:r w:rsidRPr="00356B13">
              <w:t>Przeznaczenie</w:t>
            </w:r>
          </w:p>
        </w:tc>
      </w:tr>
      <w:tr w:rsidR="00654C14" w:rsidRPr="00514F45"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Pr="00514F45" w:rsidRDefault="00654C14" w:rsidP="00A465FF">
            <w:r w:rsidRPr="00514F45">
              <w:t>Lista użytkowników</w:t>
            </w:r>
          </w:p>
        </w:tc>
        <w:tc>
          <w:tcPr>
            <w:tcW w:w="2140"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Z</w:t>
            </w:r>
            <w:r w:rsidRPr="00514F45">
              <w:t xml:space="preserve">estawienie </w:t>
            </w:r>
            <w:r>
              <w:t>typów</w:t>
            </w:r>
            <w:r w:rsidRPr="00514F45">
              <w:t xml:space="preserve"> interesariuszy korzystających z usług</w:t>
            </w:r>
            <w:r>
              <w:t xml:space="preserve"> systemu</w:t>
            </w:r>
          </w:p>
        </w:tc>
        <w:tc>
          <w:tcPr>
            <w:tcW w:w="2158" w:type="dxa"/>
          </w:tcPr>
          <w:p w:rsidR="00654C14" w:rsidRPr="00514F45" w:rsidRDefault="00654C14" w:rsidP="004E596E">
            <w:pPr>
              <w:cnfStyle w:val="000000100000" w:firstRow="0" w:lastRow="0" w:firstColumn="0" w:lastColumn="0" w:oddVBand="0" w:evenVBand="0" w:oddHBand="1" w:evenHBand="0" w:firstRowFirstColumn="0" w:firstRowLastColumn="0" w:lastRowFirstColumn="0" w:lastRowLastColumn="0"/>
            </w:pPr>
            <w:r>
              <w:t>A</w:t>
            </w:r>
            <w:r w:rsidRPr="00514F45">
              <w:t>rchitektura biznesowa</w:t>
            </w:r>
          </w:p>
        </w:tc>
        <w:tc>
          <w:tcPr>
            <w:tcW w:w="2173"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 xml:space="preserve">Identyfikacja </w:t>
            </w:r>
            <w:r w:rsidRPr="00514F45">
              <w:t>użytko</w:t>
            </w:r>
            <w:r>
              <w:t>wników wpływających na obciążenie SIG</w:t>
            </w:r>
          </w:p>
        </w:tc>
      </w:tr>
      <w:tr w:rsidR="00654C14" w:rsidRPr="00514F45"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Pr="00514F45" w:rsidRDefault="00654C14" w:rsidP="00A465FF">
            <w:r w:rsidRPr="00514F45">
              <w:t>Grupy użytkowników</w:t>
            </w:r>
          </w:p>
        </w:tc>
        <w:tc>
          <w:tcPr>
            <w:tcW w:w="2140" w:type="dxa"/>
          </w:tcPr>
          <w:p w:rsidR="00654C14" w:rsidRPr="00514F45" w:rsidRDefault="00654C14" w:rsidP="00A465FF">
            <w:pPr>
              <w:cnfStyle w:val="000000010000" w:firstRow="0" w:lastRow="0" w:firstColumn="0" w:lastColumn="0" w:oddVBand="0" w:evenVBand="0" w:oddHBand="0" w:evenHBand="1" w:firstRowFirstColumn="0" w:firstRowLastColumn="0" w:lastRowFirstColumn="0" w:lastRowLastColumn="0"/>
            </w:pPr>
            <w:r>
              <w:t>Z</w:t>
            </w:r>
            <w:r w:rsidRPr="00514F45">
              <w:t xml:space="preserve">estawienie </w:t>
            </w:r>
            <w:r>
              <w:t>grup</w:t>
            </w:r>
            <w:r w:rsidRPr="00514F45">
              <w:t xml:space="preserve"> użytkowników  </w:t>
            </w:r>
          </w:p>
        </w:tc>
        <w:tc>
          <w:tcPr>
            <w:tcW w:w="2158" w:type="dxa"/>
          </w:tcPr>
          <w:p w:rsidR="00654C14" w:rsidRPr="00514F45" w:rsidRDefault="00654C14" w:rsidP="00C80089">
            <w:pPr>
              <w:cnfStyle w:val="000000010000" w:firstRow="0" w:lastRow="0" w:firstColumn="0" w:lastColumn="0" w:oddVBand="0" w:evenVBand="0" w:oddHBand="0" w:evenHBand="1" w:firstRowFirstColumn="0" w:firstRowLastColumn="0" w:lastRowFirstColumn="0" w:lastRowLastColumn="0"/>
            </w:pPr>
            <w:r w:rsidRPr="00514F45">
              <w:t>Mały Rocznik Statystyczny Polski</w:t>
            </w:r>
            <w:r>
              <w:t>, GUS</w:t>
            </w:r>
          </w:p>
        </w:tc>
        <w:tc>
          <w:tcPr>
            <w:tcW w:w="2173" w:type="dxa"/>
          </w:tcPr>
          <w:p w:rsidR="00654C14" w:rsidRPr="00514F45" w:rsidRDefault="00654C14" w:rsidP="00A465FF">
            <w:pPr>
              <w:cnfStyle w:val="000000010000" w:firstRow="0" w:lastRow="0" w:firstColumn="0" w:lastColumn="0" w:oddVBand="0" w:evenVBand="0" w:oddHBand="0" w:evenHBand="1" w:firstRowFirstColumn="0" w:firstRowLastColumn="0" w:lastRowFirstColumn="0" w:lastRowLastColumn="0"/>
            </w:pPr>
            <w:r>
              <w:t>Identyfikacja</w:t>
            </w:r>
            <w:r w:rsidRPr="00514F45">
              <w:t xml:space="preserve"> </w:t>
            </w:r>
            <w:r>
              <w:t>grup charakteryzujących się zbliżonymi właściwościami  (w zakresie wykorzystania SIG)</w:t>
            </w:r>
          </w:p>
        </w:tc>
      </w:tr>
      <w:tr w:rsidR="00654C14" w:rsidRPr="00514F45"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Pr="00514F45" w:rsidRDefault="00654C14" w:rsidP="00A465FF">
            <w:r w:rsidRPr="00514F45">
              <w:lastRenderedPageBreak/>
              <w:t>Liczność populacji użytkowników</w:t>
            </w:r>
          </w:p>
        </w:tc>
        <w:tc>
          <w:tcPr>
            <w:tcW w:w="2140"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Z</w:t>
            </w:r>
            <w:r w:rsidRPr="00514F45">
              <w:t>estawienie ilościowe poszczególnych elementów listy użytko</w:t>
            </w:r>
            <w:r>
              <w:t>wników w kontekście danej grupy</w:t>
            </w:r>
          </w:p>
        </w:tc>
        <w:tc>
          <w:tcPr>
            <w:tcW w:w="2158" w:type="dxa"/>
          </w:tcPr>
          <w:p w:rsidR="00654C14" w:rsidRPr="00514F45" w:rsidRDefault="00654C14" w:rsidP="00E723D6">
            <w:pPr>
              <w:cnfStyle w:val="000000100000" w:firstRow="0" w:lastRow="0" w:firstColumn="0" w:lastColumn="0" w:oddVBand="0" w:evenVBand="0" w:oddHBand="1" w:evenHBand="0" w:firstRowFirstColumn="0" w:firstRowLastColumn="0" w:lastRowFirstColumn="0" w:lastRowLastColumn="0"/>
            </w:pPr>
            <w:r>
              <w:t>Analiza na etapie projektowania systemów</w:t>
            </w:r>
            <w:r w:rsidRPr="00514F45">
              <w:t xml:space="preserve"> (odniesiona do danych </w:t>
            </w:r>
            <w:r>
              <w:t>r</w:t>
            </w:r>
            <w:r w:rsidRPr="00514F45">
              <w:t>eferencyjnych)</w:t>
            </w:r>
          </w:p>
        </w:tc>
        <w:tc>
          <w:tcPr>
            <w:tcW w:w="2173"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Identyfikacja docelowej liczności grup użytkowników</w:t>
            </w:r>
          </w:p>
        </w:tc>
      </w:tr>
      <w:tr w:rsidR="00654C14" w:rsidRPr="00514F45"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Pr="00514F45" w:rsidRDefault="00654C14" w:rsidP="00A465FF">
            <w:r>
              <w:t>W</w:t>
            </w:r>
            <w:r w:rsidRPr="00514F45">
              <w:t>spółczynnik rocznego wykorzystania szczytowego</w:t>
            </w:r>
          </w:p>
        </w:tc>
        <w:tc>
          <w:tcPr>
            <w:tcW w:w="2140" w:type="dxa"/>
          </w:tcPr>
          <w:p w:rsidR="00654C14" w:rsidRPr="00514F45" w:rsidRDefault="00654C14" w:rsidP="00A465FF">
            <w:pPr>
              <w:cnfStyle w:val="000000010000" w:firstRow="0" w:lastRow="0" w:firstColumn="0" w:lastColumn="0" w:oddVBand="0" w:evenVBand="0" w:oddHBand="0" w:evenHBand="1" w:firstRowFirstColumn="0" w:firstRowLastColumn="0" w:lastRowFirstColumn="0" w:lastRowLastColumn="0"/>
            </w:pPr>
            <w:r>
              <w:t>Procentowy udział reprezentantów grupy korzystających z usług systemu</w:t>
            </w:r>
          </w:p>
        </w:tc>
        <w:tc>
          <w:tcPr>
            <w:tcW w:w="2158" w:type="dxa"/>
          </w:tcPr>
          <w:p w:rsidR="00654C14" w:rsidRPr="00514F45" w:rsidRDefault="00654C14" w:rsidP="00A465FF">
            <w:pPr>
              <w:cnfStyle w:val="000000010000" w:firstRow="0" w:lastRow="0" w:firstColumn="0" w:lastColumn="0" w:oddVBand="0" w:evenVBand="0" w:oddHBand="0" w:evenHBand="1" w:firstRowFirstColumn="0" w:firstRowLastColumn="0" w:lastRowFirstColumn="0" w:lastRowLastColumn="0"/>
            </w:pPr>
            <w:r>
              <w:t>Analiza na etapie projektowania systemów</w:t>
            </w:r>
          </w:p>
        </w:tc>
        <w:tc>
          <w:tcPr>
            <w:tcW w:w="2173" w:type="dxa"/>
          </w:tcPr>
          <w:p w:rsidR="00654C14" w:rsidRPr="00514F45" w:rsidRDefault="00654C14" w:rsidP="00A465FF">
            <w:pPr>
              <w:cnfStyle w:val="000000010000" w:firstRow="0" w:lastRow="0" w:firstColumn="0" w:lastColumn="0" w:oddVBand="0" w:evenVBand="0" w:oddHBand="0" w:evenHBand="1" w:firstRowFirstColumn="0" w:firstRowLastColumn="0" w:lastRowFirstColumn="0" w:lastRowLastColumn="0"/>
            </w:pPr>
            <w:r>
              <w:t>Identyfikacja rzeczywistej liczby użytkowników wykorzystujących SIG</w:t>
            </w:r>
          </w:p>
        </w:tc>
      </w:tr>
      <w:tr w:rsidR="00654C14" w:rsidRPr="00514F45"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Pr="00514F45" w:rsidRDefault="00654C14" w:rsidP="00A465FF">
            <w:r>
              <w:t>Założenia wolumetryczne</w:t>
            </w:r>
          </w:p>
        </w:tc>
        <w:tc>
          <w:tcPr>
            <w:tcW w:w="2140"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Zbiór założeń dotyczących wolumetrii danych wykorzystywanych głównie w szacowaniu pasma cechujących się znaczącą wrażliwością na wyniki metody</w:t>
            </w:r>
          </w:p>
        </w:tc>
        <w:tc>
          <w:tcPr>
            <w:tcW w:w="2158"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Analiza na etapie projektowania SIG</w:t>
            </w:r>
          </w:p>
        </w:tc>
        <w:tc>
          <w:tcPr>
            <w:tcW w:w="2173"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Szacowania wolumetryczne</w:t>
            </w:r>
          </w:p>
        </w:tc>
      </w:tr>
      <w:tr w:rsidR="00654C14" w:rsidRPr="00514F45"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Pr="00514F45" w:rsidRDefault="00654C14" w:rsidP="00A465FF">
            <w:r>
              <w:t>Lista scenariuszy</w:t>
            </w:r>
          </w:p>
        </w:tc>
        <w:tc>
          <w:tcPr>
            <w:tcW w:w="2140" w:type="dxa"/>
          </w:tcPr>
          <w:p w:rsidR="00654C14" w:rsidRPr="00514F45" w:rsidRDefault="00654C14" w:rsidP="00A465FF">
            <w:pPr>
              <w:cnfStyle w:val="000000010000" w:firstRow="0" w:lastRow="0" w:firstColumn="0" w:lastColumn="0" w:oddVBand="0" w:evenVBand="0" w:oddHBand="0" w:evenHBand="1" w:firstRowFirstColumn="0" w:firstRowLastColumn="0" w:lastRowFirstColumn="0" w:lastRowLastColumn="0"/>
            </w:pPr>
            <w:r>
              <w:t>Zestawienie scenariuszy realizowanych w systemie</w:t>
            </w:r>
          </w:p>
        </w:tc>
        <w:tc>
          <w:tcPr>
            <w:tcW w:w="2158" w:type="dxa"/>
          </w:tcPr>
          <w:p w:rsidR="00654C14" w:rsidRPr="00514F45" w:rsidRDefault="00654C14" w:rsidP="00D6001E">
            <w:pPr>
              <w:cnfStyle w:val="000000010000" w:firstRow="0" w:lastRow="0" w:firstColumn="0" w:lastColumn="0" w:oddVBand="0" w:evenVBand="0" w:oddHBand="0" w:evenHBand="1" w:firstRowFirstColumn="0" w:firstRowLastColumn="0" w:lastRowFirstColumn="0" w:lastRowLastColumn="0"/>
            </w:pPr>
            <w:r w:rsidRPr="00CE29B4">
              <w:t>Na podstawie scenariuszy przyjętych podczas opracowania SIG dla kluczowych przepływów</w:t>
            </w:r>
            <w:r>
              <w:t xml:space="preserve"> komunikatów</w:t>
            </w:r>
            <w:r w:rsidRPr="00CE29B4">
              <w:t xml:space="preserve"> w ramach SIG</w:t>
            </w:r>
          </w:p>
        </w:tc>
        <w:tc>
          <w:tcPr>
            <w:tcW w:w="2173" w:type="dxa"/>
          </w:tcPr>
          <w:p w:rsidR="00654C14" w:rsidRPr="00514F45" w:rsidRDefault="00654C14" w:rsidP="00A465FF">
            <w:pPr>
              <w:cnfStyle w:val="000000010000" w:firstRow="0" w:lastRow="0" w:firstColumn="0" w:lastColumn="0" w:oddVBand="0" w:evenVBand="0" w:oddHBand="0" w:evenHBand="1" w:firstRowFirstColumn="0" w:firstRowLastColumn="0" w:lastRowFirstColumn="0" w:lastRowLastColumn="0"/>
            </w:pPr>
            <w:r>
              <w:t>Badanie złożoności usług biznesowych</w:t>
            </w:r>
          </w:p>
        </w:tc>
      </w:tr>
      <w:tr w:rsidR="00654C14" w:rsidRPr="00514F45"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Pr="00514F45" w:rsidRDefault="00654C14" w:rsidP="00A465FF">
            <w:r>
              <w:t>W</w:t>
            </w:r>
            <w:r w:rsidRPr="00CE29B4">
              <w:t xml:space="preserve">skaźnik </w:t>
            </w:r>
            <w:r w:rsidR="007D21E0">
              <w:t>„</w:t>
            </w:r>
            <w:proofErr w:type="spellStart"/>
            <w:r>
              <w:t>Int</w:t>
            </w:r>
            <w:proofErr w:type="spellEnd"/>
            <w:r>
              <w:t>-Scen-Proc</w:t>
            </w:r>
            <w:r w:rsidR="007D21E0">
              <w:t>”</w:t>
            </w:r>
            <w:r>
              <w:t xml:space="preserve"> </w:t>
            </w:r>
          </w:p>
        </w:tc>
        <w:tc>
          <w:tcPr>
            <w:tcW w:w="2140"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Procent użytkowników wykorzystujących dany scenariusz</w:t>
            </w:r>
          </w:p>
        </w:tc>
        <w:tc>
          <w:tcPr>
            <w:tcW w:w="2158"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Analiza na etapie projektowania systemów</w:t>
            </w:r>
          </w:p>
        </w:tc>
        <w:tc>
          <w:tcPr>
            <w:tcW w:w="2173" w:type="dxa"/>
          </w:tcPr>
          <w:p w:rsidR="00654C14" w:rsidRPr="00514F45" w:rsidRDefault="00654C14" w:rsidP="00A465FF">
            <w:pPr>
              <w:cnfStyle w:val="000000100000" w:firstRow="0" w:lastRow="0" w:firstColumn="0" w:lastColumn="0" w:oddVBand="0" w:evenVBand="0" w:oddHBand="1" w:evenHBand="0" w:firstRowFirstColumn="0" w:firstRowLastColumn="0" w:lastRowFirstColumn="0" w:lastRowLastColumn="0"/>
            </w:pPr>
            <w:r>
              <w:t>Wskazanie realnego wykorzystania poszczególnych usług biznesowych przez daną grupę użytkowników</w:t>
            </w:r>
          </w:p>
        </w:tc>
      </w:tr>
      <w:tr w:rsidR="00654C14" w:rsidRPr="00514F45"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Default="00654C14" w:rsidP="00A465FF">
            <w:r>
              <w:t>Lista usług biznesowych</w:t>
            </w:r>
          </w:p>
        </w:tc>
        <w:tc>
          <w:tcPr>
            <w:tcW w:w="2140"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Zestawienie usług biznesowych udostępnianych przez system</w:t>
            </w:r>
          </w:p>
        </w:tc>
        <w:tc>
          <w:tcPr>
            <w:tcW w:w="2158" w:type="dxa"/>
          </w:tcPr>
          <w:p w:rsidR="00654C14" w:rsidRDefault="00654C14" w:rsidP="00794F0A">
            <w:pPr>
              <w:cnfStyle w:val="000000010000" w:firstRow="0" w:lastRow="0" w:firstColumn="0" w:lastColumn="0" w:oddVBand="0" w:evenVBand="0" w:oddHBand="0" w:evenHBand="1" w:firstRowFirstColumn="0" w:firstRowLastColumn="0" w:lastRowFirstColumn="0" w:lastRowLastColumn="0"/>
            </w:pPr>
            <w:r>
              <w:t>A</w:t>
            </w:r>
            <w:r w:rsidRPr="00514F45">
              <w:t xml:space="preserve">rchitektura biznesowa </w:t>
            </w:r>
          </w:p>
        </w:tc>
        <w:tc>
          <w:tcPr>
            <w:tcW w:w="2173"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Podstawowa jednostka wymiarowania</w:t>
            </w:r>
          </w:p>
        </w:tc>
      </w:tr>
      <w:tr w:rsidR="00654C14" w:rsidRPr="00514F45"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Default="00654C14" w:rsidP="00A465FF">
            <w:r>
              <w:t xml:space="preserve">Wskaźnik </w:t>
            </w:r>
            <w:r w:rsidR="00A4341E">
              <w:t>„</w:t>
            </w:r>
            <w:proofErr w:type="spellStart"/>
            <w:r>
              <w:t>ZłożonośćOper</w:t>
            </w:r>
            <w:proofErr w:type="spellEnd"/>
            <w:r w:rsidR="00A4341E">
              <w:t>”</w:t>
            </w:r>
            <w:r>
              <w:t xml:space="preserve">, </w:t>
            </w:r>
            <w:r w:rsidR="00A4341E">
              <w:t>„</w:t>
            </w:r>
            <w:proofErr w:type="spellStart"/>
            <w:r>
              <w:t>ZłożonośćWol</w:t>
            </w:r>
            <w:proofErr w:type="spellEnd"/>
            <w:r w:rsidR="00A4341E">
              <w:t>”</w:t>
            </w:r>
          </w:p>
        </w:tc>
        <w:tc>
          <w:tcPr>
            <w:tcW w:w="2140"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W</w:t>
            </w:r>
            <w:r w:rsidRPr="00C825C9">
              <w:t xml:space="preserve">skazanie </w:t>
            </w:r>
            <w:r>
              <w:t xml:space="preserve">złożoności usługi biznesowej i mapowanie, który scenariusz </w:t>
            </w:r>
            <w:r w:rsidRPr="00C825C9">
              <w:t>przypada na daną usługę biznesową</w:t>
            </w:r>
          </w:p>
          <w:p w:rsidR="00654C14" w:rsidRDefault="00654C14" w:rsidP="00A465FF">
            <w:pPr>
              <w:cnfStyle w:val="000000100000" w:firstRow="0" w:lastRow="0" w:firstColumn="0" w:lastColumn="0" w:oddVBand="0" w:evenVBand="0" w:oddHBand="1" w:evenHBand="0" w:firstRowFirstColumn="0" w:firstRowLastColumn="0" w:lastRowFirstColumn="0" w:lastRowLastColumn="0"/>
            </w:pPr>
          </w:p>
        </w:tc>
        <w:tc>
          <w:tcPr>
            <w:tcW w:w="2158" w:type="dxa"/>
          </w:tcPr>
          <w:p w:rsidR="00654C14" w:rsidRDefault="00654C14" w:rsidP="00794F0A">
            <w:pPr>
              <w:cnfStyle w:val="000000100000" w:firstRow="0" w:lastRow="0" w:firstColumn="0" w:lastColumn="0" w:oddVBand="0" w:evenVBand="0" w:oddHBand="1" w:evenHBand="0" w:firstRowFirstColumn="0" w:firstRowLastColumn="0" w:lastRowFirstColumn="0" w:lastRowLastColumn="0"/>
            </w:pPr>
            <w:r w:rsidRPr="00CE29B4">
              <w:t>Na podstawie scenariuszy przyjętych podczas opracowania SIG dla kluczowych przepływów w ramach SIG</w:t>
            </w:r>
          </w:p>
        </w:tc>
        <w:tc>
          <w:tcPr>
            <w:tcW w:w="2173"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Mapowanie wskazujące jakie usługi biznesowe biorą udział w realizacji wybranego scenariusza</w:t>
            </w:r>
          </w:p>
        </w:tc>
      </w:tr>
      <w:tr w:rsidR="00654C14" w:rsidRPr="00514F45"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Default="00654C14" w:rsidP="00A465FF">
            <w:r>
              <w:t xml:space="preserve">Wskaźnik </w:t>
            </w:r>
            <w:r w:rsidR="00A4341E">
              <w:t>„</w:t>
            </w:r>
            <w:proofErr w:type="spellStart"/>
            <w:r>
              <w:t>BSpYear</w:t>
            </w:r>
            <w:proofErr w:type="spellEnd"/>
            <w:r w:rsidR="00A4341E">
              <w:t>”</w:t>
            </w:r>
          </w:p>
        </w:tc>
        <w:tc>
          <w:tcPr>
            <w:tcW w:w="2140" w:type="dxa"/>
          </w:tcPr>
          <w:p w:rsidR="00654C14" w:rsidRDefault="00A4341E" w:rsidP="00A465FF">
            <w:pPr>
              <w:cnfStyle w:val="000000010000" w:firstRow="0" w:lastRow="0" w:firstColumn="0" w:lastColumn="0" w:oddVBand="0" w:evenVBand="0" w:oddHBand="0" w:evenHBand="1" w:firstRowFirstColumn="0" w:firstRowLastColumn="0" w:lastRowFirstColumn="0" w:lastRowLastColumn="0"/>
            </w:pPr>
            <w:r>
              <w:t xml:space="preserve">Wskazanie jak </w:t>
            </w:r>
            <w:r w:rsidR="00654C14">
              <w:t>często pojedynczy przedstawiciel danej grupy korzysta z danej usługi biznesowej</w:t>
            </w:r>
          </w:p>
        </w:tc>
        <w:tc>
          <w:tcPr>
            <w:tcW w:w="2158"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Analiza na etapie projektowania systemów</w:t>
            </w:r>
          </w:p>
        </w:tc>
        <w:tc>
          <w:tcPr>
            <w:tcW w:w="2173"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Wskazanie stopnia rocznego wykorzystania usługi biznesowej przez pojedynczego reprezentanta grupy użytkowników</w:t>
            </w:r>
          </w:p>
        </w:tc>
      </w:tr>
      <w:tr w:rsidR="00654C14"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Default="00654C14" w:rsidP="00A465FF">
            <w:r>
              <w:t>Współczynniki technologiczne</w:t>
            </w:r>
          </w:p>
        </w:tc>
        <w:tc>
          <w:tcPr>
            <w:tcW w:w="6471" w:type="dxa"/>
            <w:gridSpan w:val="3"/>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Współczynniki określające stopień potencjalnej rozbieżności pomiędzy biznesowym szacunkiem wydajności a  techniczną implementacją potencjonalnego wykonawcy systemu</w:t>
            </w:r>
          </w:p>
        </w:tc>
      </w:tr>
      <w:tr w:rsidR="00654C14"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654C14" w:rsidRDefault="00654C14" w:rsidP="00A465FF">
            <w:r>
              <w:t>Współczynniki rozkładu ruchu</w:t>
            </w:r>
          </w:p>
        </w:tc>
        <w:tc>
          <w:tcPr>
            <w:tcW w:w="6471" w:type="dxa"/>
            <w:gridSpan w:val="3"/>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Współczynniki określające właściwości rozkładu ruchu z uwzględnieniem wartości szczytowych (np. obciążenia z powodu jednoczesnego wykorzystania systemów przez znaczną liczbę użytkowników, w szczególności przez liczbę wyższą niż średnia)</w:t>
            </w:r>
          </w:p>
        </w:tc>
      </w:tr>
    </w:tbl>
    <w:p w:rsidR="003E6E4A" w:rsidRDefault="003E6E4A" w:rsidP="008D537A"/>
    <w:p w:rsidR="00654C14" w:rsidRDefault="00654C14" w:rsidP="002C5737">
      <w:pPr>
        <w:pStyle w:val="Nagwek2"/>
      </w:pPr>
      <w:bookmarkStart w:id="5" w:name="_Toc299018784"/>
      <w:bookmarkStart w:id="6" w:name="_Toc300746638"/>
      <w:r>
        <w:lastRenderedPageBreak/>
        <w:t>Lista danych wynikowych</w:t>
      </w:r>
      <w:bookmarkEnd w:id="5"/>
      <w:bookmarkEnd w:id="6"/>
    </w:p>
    <w:p w:rsidR="00654C14" w:rsidRDefault="00654C14" w:rsidP="00654C14">
      <w:pPr>
        <w:rPr>
          <w:lang w:eastAsia="pl-PL"/>
        </w:rPr>
      </w:pPr>
      <w:r>
        <w:rPr>
          <w:lang w:eastAsia="pl-PL"/>
        </w:rPr>
        <w:t>Dla zadanego zbioru założeń otrzymuje się zbiór wyników, który zawarty jest w kilku arkuszach. Podstawowymi arkuszami wynikowymi są:</w:t>
      </w:r>
    </w:p>
    <w:p w:rsidR="00A4341E" w:rsidRDefault="00A4341E" w:rsidP="00A4341E">
      <w:pPr>
        <w:pStyle w:val="Akapitzlist"/>
        <w:numPr>
          <w:ilvl w:val="0"/>
          <w:numId w:val="9"/>
        </w:numPr>
        <w:suppressAutoHyphens/>
        <w:spacing w:before="60" w:after="60"/>
        <w:jc w:val="both"/>
        <w:rPr>
          <w:lang w:eastAsia="pl-PL"/>
        </w:rPr>
      </w:pPr>
      <w:r>
        <w:rPr>
          <w:lang w:eastAsia="pl-PL"/>
        </w:rPr>
        <w:t>Wskaźniki – wskaźniki operacji biznesowych wpływających na wymaganą moc obliczeniową</w:t>
      </w:r>
    </w:p>
    <w:p w:rsidR="00A4341E" w:rsidRDefault="00A4341E" w:rsidP="00A4341E">
      <w:pPr>
        <w:pStyle w:val="Akapitzlist"/>
        <w:numPr>
          <w:ilvl w:val="0"/>
          <w:numId w:val="9"/>
        </w:numPr>
        <w:suppressAutoHyphens/>
        <w:spacing w:before="60" w:after="60"/>
        <w:jc w:val="both"/>
        <w:rPr>
          <w:lang w:eastAsia="pl-PL"/>
        </w:rPr>
      </w:pPr>
      <w:r>
        <w:rPr>
          <w:lang w:eastAsia="pl-PL"/>
        </w:rPr>
        <w:t>Warstwy – rozkład wymaganej mocy obliczeniowej w warstwach technicznych systemu</w:t>
      </w:r>
    </w:p>
    <w:p w:rsidR="00654C14" w:rsidRDefault="00654C14" w:rsidP="00654C14">
      <w:pPr>
        <w:pStyle w:val="Akapitzlist"/>
        <w:numPr>
          <w:ilvl w:val="0"/>
          <w:numId w:val="9"/>
        </w:numPr>
        <w:suppressAutoHyphens/>
        <w:spacing w:before="60" w:after="60"/>
        <w:jc w:val="both"/>
        <w:rPr>
          <w:lang w:eastAsia="pl-PL"/>
        </w:rPr>
      </w:pPr>
      <w:proofErr w:type="spellStart"/>
      <w:r>
        <w:rPr>
          <w:lang w:eastAsia="pl-PL"/>
        </w:rPr>
        <w:t>RozkładEO</w:t>
      </w:r>
      <w:proofErr w:type="spellEnd"/>
      <w:r w:rsidR="00A4341E">
        <w:rPr>
          <w:lang w:eastAsia="pl-PL"/>
        </w:rPr>
        <w:t xml:space="preserve"> – rozkład operacji biznesowych</w:t>
      </w:r>
    </w:p>
    <w:p w:rsidR="00654C14" w:rsidRDefault="00654C14" w:rsidP="00654C14">
      <w:pPr>
        <w:pStyle w:val="Akapitzlist"/>
        <w:numPr>
          <w:ilvl w:val="0"/>
          <w:numId w:val="9"/>
        </w:numPr>
        <w:suppressAutoHyphens/>
        <w:spacing w:before="60" w:after="60"/>
        <w:jc w:val="both"/>
        <w:rPr>
          <w:lang w:eastAsia="pl-PL"/>
        </w:rPr>
      </w:pPr>
      <w:proofErr w:type="spellStart"/>
      <w:r>
        <w:rPr>
          <w:lang w:eastAsia="pl-PL"/>
        </w:rPr>
        <w:t>RozkładDV</w:t>
      </w:r>
      <w:proofErr w:type="spellEnd"/>
      <w:r w:rsidR="00A4341E">
        <w:rPr>
          <w:lang w:eastAsia="pl-PL"/>
        </w:rPr>
        <w:t xml:space="preserve"> – rozkład przepływu danych</w:t>
      </w:r>
    </w:p>
    <w:p w:rsidR="00654C14" w:rsidRDefault="00654C14" w:rsidP="00654C14">
      <w:pPr>
        <w:rPr>
          <w:lang w:eastAsia="pl-PL"/>
        </w:rPr>
      </w:pPr>
      <w:r>
        <w:rPr>
          <w:lang w:eastAsia="pl-PL"/>
        </w:rPr>
        <w:t>Wyniki zawarte są również w arkuszach pośrednich metody, które niosą oddzielną wartość i mogą być wykorzystywane do innych celów:</w:t>
      </w:r>
    </w:p>
    <w:p w:rsidR="00654C14" w:rsidRDefault="00654C14" w:rsidP="00654C14">
      <w:pPr>
        <w:pStyle w:val="Akapitzlist"/>
        <w:numPr>
          <w:ilvl w:val="0"/>
          <w:numId w:val="10"/>
        </w:numPr>
        <w:suppressAutoHyphens/>
        <w:spacing w:before="60" w:after="60"/>
        <w:jc w:val="both"/>
        <w:rPr>
          <w:lang w:eastAsia="pl-PL"/>
        </w:rPr>
      </w:pPr>
      <w:r>
        <w:rPr>
          <w:lang w:eastAsia="pl-PL"/>
        </w:rPr>
        <w:t xml:space="preserve">Użytkownicy i </w:t>
      </w:r>
      <w:proofErr w:type="spellStart"/>
      <w:r>
        <w:rPr>
          <w:lang w:eastAsia="pl-PL"/>
        </w:rPr>
        <w:t>GrupyUżytkowników</w:t>
      </w:r>
      <w:proofErr w:type="spellEnd"/>
      <w:r>
        <w:rPr>
          <w:lang w:eastAsia="pl-PL"/>
        </w:rPr>
        <w:t xml:space="preserve"> zawierają liczebność użytkowników oraz grup użytkowników</w:t>
      </w:r>
    </w:p>
    <w:p w:rsidR="00654C14" w:rsidRDefault="00654C14" w:rsidP="00654C14">
      <w:pPr>
        <w:pStyle w:val="Akapitzlist"/>
        <w:numPr>
          <w:ilvl w:val="0"/>
          <w:numId w:val="10"/>
        </w:numPr>
        <w:suppressAutoHyphens/>
        <w:spacing w:before="60" w:after="60"/>
        <w:jc w:val="both"/>
        <w:rPr>
          <w:lang w:eastAsia="pl-PL"/>
        </w:rPr>
      </w:pPr>
      <w:proofErr w:type="spellStart"/>
      <w:r>
        <w:rPr>
          <w:lang w:eastAsia="pl-PL"/>
        </w:rPr>
        <w:t>Int</w:t>
      </w:r>
      <w:proofErr w:type="spellEnd"/>
      <w:r>
        <w:rPr>
          <w:lang w:eastAsia="pl-PL"/>
        </w:rPr>
        <w:t>-Scen zawiera procentowe wykorzystanie scenariuszy</w:t>
      </w:r>
    </w:p>
    <w:p w:rsidR="00654C14" w:rsidRDefault="00654C14" w:rsidP="00654C14">
      <w:pPr>
        <w:pStyle w:val="Akapitzlist"/>
        <w:numPr>
          <w:ilvl w:val="0"/>
          <w:numId w:val="10"/>
        </w:numPr>
        <w:suppressAutoHyphens/>
        <w:spacing w:before="60" w:after="60"/>
        <w:jc w:val="both"/>
        <w:rPr>
          <w:lang w:eastAsia="pl-PL"/>
        </w:rPr>
      </w:pPr>
      <w:proofErr w:type="spellStart"/>
      <w:r>
        <w:rPr>
          <w:lang w:eastAsia="pl-PL"/>
        </w:rPr>
        <w:t>EOpBS</w:t>
      </w:r>
      <w:proofErr w:type="spellEnd"/>
      <w:r>
        <w:rPr>
          <w:lang w:eastAsia="pl-PL"/>
        </w:rPr>
        <w:t xml:space="preserve"> i </w:t>
      </w:r>
      <w:proofErr w:type="spellStart"/>
      <w:r>
        <w:rPr>
          <w:lang w:eastAsia="pl-PL"/>
        </w:rPr>
        <w:t>EOpYear</w:t>
      </w:r>
      <w:proofErr w:type="spellEnd"/>
      <w:r>
        <w:rPr>
          <w:lang w:eastAsia="pl-PL"/>
        </w:rPr>
        <w:t xml:space="preserve"> zawierają liczbę operacji biznesowych w skali roku w rozbiciu na poszczególne usługi biznesowe</w:t>
      </w:r>
    </w:p>
    <w:p w:rsidR="00654C14" w:rsidRDefault="00654C14" w:rsidP="00654C14">
      <w:pPr>
        <w:pStyle w:val="Akapitzlist"/>
        <w:numPr>
          <w:ilvl w:val="0"/>
          <w:numId w:val="10"/>
        </w:numPr>
        <w:suppressAutoHyphens/>
        <w:spacing w:before="60" w:after="60"/>
        <w:jc w:val="both"/>
        <w:rPr>
          <w:lang w:eastAsia="pl-PL"/>
        </w:rPr>
      </w:pPr>
      <w:proofErr w:type="spellStart"/>
      <w:r>
        <w:rPr>
          <w:lang w:eastAsia="pl-PL"/>
        </w:rPr>
        <w:t>DVpBS</w:t>
      </w:r>
      <w:proofErr w:type="spellEnd"/>
      <w:r>
        <w:rPr>
          <w:lang w:eastAsia="pl-PL"/>
        </w:rPr>
        <w:t xml:space="preserve"> i </w:t>
      </w:r>
      <w:proofErr w:type="spellStart"/>
      <w:r>
        <w:rPr>
          <w:lang w:eastAsia="pl-PL"/>
        </w:rPr>
        <w:t>DVpYear</w:t>
      </w:r>
      <w:proofErr w:type="spellEnd"/>
      <w:r>
        <w:rPr>
          <w:lang w:eastAsia="pl-PL"/>
        </w:rPr>
        <w:t xml:space="preserve"> zawierają wolumen danych przesyłany w skali roku w rozbiciu na poszczególne usługi biznesowe</w:t>
      </w:r>
    </w:p>
    <w:p w:rsidR="00654C14" w:rsidRPr="009131B2" w:rsidRDefault="003D1C63" w:rsidP="00654C14">
      <w:pPr>
        <w:rPr>
          <w:lang w:eastAsia="pl-PL"/>
        </w:rPr>
      </w:pPr>
      <w:r>
        <w:rPr>
          <w:lang w:eastAsia="pl-PL"/>
        </w:rPr>
        <w:fldChar w:fldCharType="begin"/>
      </w:r>
      <w:r w:rsidR="00654C14">
        <w:rPr>
          <w:lang w:eastAsia="pl-PL"/>
        </w:rPr>
        <w:instrText xml:space="preserve"> REF _Ref299362539 \h </w:instrText>
      </w:r>
      <w:r>
        <w:rPr>
          <w:lang w:eastAsia="pl-PL"/>
        </w:rPr>
      </w:r>
      <w:r>
        <w:rPr>
          <w:lang w:eastAsia="pl-PL"/>
        </w:rPr>
        <w:fldChar w:fldCharType="separate"/>
      </w:r>
      <w:r w:rsidR="00654C14">
        <w:t xml:space="preserve">Tabela </w:t>
      </w:r>
      <w:r w:rsidR="00654C14">
        <w:rPr>
          <w:noProof/>
        </w:rPr>
        <w:t>3 Lista danych wynikowych</w:t>
      </w:r>
      <w:r>
        <w:rPr>
          <w:lang w:eastAsia="pl-PL"/>
        </w:rPr>
        <w:fldChar w:fldCharType="end"/>
      </w:r>
      <w:r w:rsidR="00654C14">
        <w:rPr>
          <w:lang w:eastAsia="pl-PL"/>
        </w:rPr>
        <w:t xml:space="preserve"> zawiera listę najważniejszych parametrów wynikowych.</w:t>
      </w:r>
    </w:p>
    <w:p w:rsidR="00654C14" w:rsidRDefault="00654C14" w:rsidP="00654C14">
      <w:pPr>
        <w:pStyle w:val="Legenda"/>
        <w:keepNext/>
      </w:pPr>
      <w:bookmarkStart w:id="7" w:name="_Ref299362539"/>
      <w:bookmarkStart w:id="8" w:name="_Toc300246402"/>
      <w:r>
        <w:t xml:space="preserve">Tabela </w:t>
      </w:r>
      <w:r w:rsidR="003D1C63">
        <w:fldChar w:fldCharType="begin"/>
      </w:r>
      <w:r>
        <w:instrText xml:space="preserve"> SEQ Tabela \* ARABIC </w:instrText>
      </w:r>
      <w:r w:rsidR="003D1C63">
        <w:fldChar w:fldCharType="separate"/>
      </w:r>
      <w:r>
        <w:rPr>
          <w:noProof/>
        </w:rPr>
        <w:t>3</w:t>
      </w:r>
      <w:r w:rsidR="003D1C63">
        <w:fldChar w:fldCharType="end"/>
      </w:r>
      <w:r>
        <w:rPr>
          <w:noProof/>
        </w:rPr>
        <w:t xml:space="preserve"> Lista danych wynikowych</w:t>
      </w:r>
      <w:bookmarkEnd w:id="7"/>
      <w:bookmarkEnd w:id="8"/>
    </w:p>
    <w:tbl>
      <w:tblPr>
        <w:tblStyle w:val="Jasnasiatkaakcent3"/>
        <w:tblW w:w="0" w:type="auto"/>
        <w:tblLook w:val="04A0" w:firstRow="1" w:lastRow="0" w:firstColumn="1" w:lastColumn="0" w:noHBand="0" w:noVBand="1"/>
      </w:tblPr>
      <w:tblGrid>
        <w:gridCol w:w="2550"/>
        <w:gridCol w:w="3271"/>
        <w:gridCol w:w="2899"/>
      </w:tblGrid>
      <w:tr w:rsidR="00654C14" w:rsidTr="00A4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Pr="00356B13" w:rsidRDefault="00654C14" w:rsidP="00A465FF">
            <w:r w:rsidRPr="00356B13">
              <w:t>Nazwa parametru</w:t>
            </w:r>
          </w:p>
        </w:tc>
        <w:tc>
          <w:tcPr>
            <w:tcW w:w="3271" w:type="dxa"/>
          </w:tcPr>
          <w:p w:rsidR="00654C14" w:rsidRPr="00356B13" w:rsidRDefault="00654C14" w:rsidP="00A465FF">
            <w:pPr>
              <w:cnfStyle w:val="100000000000" w:firstRow="1" w:lastRow="0" w:firstColumn="0" w:lastColumn="0" w:oddVBand="0" w:evenVBand="0" w:oddHBand="0" w:evenHBand="0" w:firstRowFirstColumn="0" w:firstRowLastColumn="0" w:lastRowFirstColumn="0" w:lastRowLastColumn="0"/>
            </w:pPr>
            <w:r w:rsidRPr="00356B13">
              <w:t>Opis parametru</w:t>
            </w:r>
          </w:p>
        </w:tc>
        <w:tc>
          <w:tcPr>
            <w:tcW w:w="2899" w:type="dxa"/>
          </w:tcPr>
          <w:p w:rsidR="00654C14" w:rsidRPr="00356B13" w:rsidRDefault="00654C14" w:rsidP="00A465FF">
            <w:pPr>
              <w:cnfStyle w:val="100000000000" w:firstRow="1" w:lastRow="0" w:firstColumn="0" w:lastColumn="0" w:oddVBand="0" w:evenVBand="0" w:oddHBand="0" w:evenHBand="0" w:firstRowFirstColumn="0" w:firstRowLastColumn="0" w:lastRowFirstColumn="0" w:lastRowLastColumn="0"/>
            </w:pPr>
            <w:r w:rsidRPr="00356B13">
              <w:t>Przeznaczenie</w:t>
            </w:r>
          </w:p>
        </w:tc>
      </w:tr>
      <w:tr w:rsidR="00654C14"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Default="00654C14" w:rsidP="00A465FF">
            <w:r>
              <w:t>L</w:t>
            </w:r>
            <w:r w:rsidRPr="00CE29B4">
              <w:t>iczba użytkowników korzystających</w:t>
            </w:r>
            <w:r>
              <w:t xml:space="preserve"> z usług</w:t>
            </w:r>
          </w:p>
        </w:tc>
        <w:tc>
          <w:tcPr>
            <w:tcW w:w="3271"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Z</w:t>
            </w:r>
            <w:r w:rsidRPr="00514F45">
              <w:t>estawienie ilościowe poszczególnych elementów listy użytkowników</w:t>
            </w:r>
            <w:r>
              <w:t xml:space="preserve"> </w:t>
            </w:r>
            <w:r w:rsidRPr="00514F45">
              <w:t>w kontekście danej grupy</w:t>
            </w:r>
            <w:r>
              <w:t xml:space="preserve"> (urealnione).</w:t>
            </w:r>
          </w:p>
        </w:tc>
        <w:tc>
          <w:tcPr>
            <w:tcW w:w="2899"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Opracowania uwzględniające liczbę użytkowników</w:t>
            </w:r>
          </w:p>
        </w:tc>
      </w:tr>
      <w:tr w:rsidR="00654C14"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Default="00654C14" w:rsidP="00A465FF">
            <w:r>
              <w:t>W</w:t>
            </w:r>
            <w:r w:rsidRPr="00CE29B4">
              <w:t xml:space="preserve">skaźnik </w:t>
            </w:r>
            <w:proofErr w:type="spellStart"/>
            <w:r>
              <w:t>Int</w:t>
            </w:r>
            <w:proofErr w:type="spellEnd"/>
            <w:r>
              <w:t>-Scen</w:t>
            </w:r>
          </w:p>
        </w:tc>
        <w:tc>
          <w:tcPr>
            <w:tcW w:w="3271"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L</w:t>
            </w:r>
            <w:r w:rsidRPr="005368E1">
              <w:t>iczność użytkowników korzystających z danego scenariusza</w:t>
            </w:r>
          </w:p>
        </w:tc>
        <w:tc>
          <w:tcPr>
            <w:tcW w:w="2899"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Wskazanie realnej</w:t>
            </w:r>
            <w:r w:rsidRPr="005368E1">
              <w:t xml:space="preserve"> liczb</w:t>
            </w:r>
            <w:r>
              <w:t>y</w:t>
            </w:r>
            <w:r w:rsidRPr="005368E1">
              <w:t xml:space="preserve"> użytkowników korzystająca z danego scenariusza</w:t>
            </w:r>
          </w:p>
        </w:tc>
      </w:tr>
      <w:tr w:rsidR="00654C14"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Default="00654C14" w:rsidP="00A465FF">
            <w:r>
              <w:t>W</w:t>
            </w:r>
            <w:r w:rsidRPr="00CE29B4">
              <w:t xml:space="preserve">skaźnik </w:t>
            </w:r>
            <w:proofErr w:type="spellStart"/>
            <w:r>
              <w:t>EO</w:t>
            </w:r>
            <w:r w:rsidRPr="00D411E9">
              <w:t>pBS</w:t>
            </w:r>
            <w:proofErr w:type="spellEnd"/>
          </w:p>
        </w:tc>
        <w:tc>
          <w:tcPr>
            <w:tcW w:w="3271"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Liczba</w:t>
            </w:r>
            <w:r w:rsidRPr="007C09C2">
              <w:t xml:space="preserve"> </w:t>
            </w:r>
            <w:r>
              <w:t xml:space="preserve">rzeczywistych </w:t>
            </w:r>
            <w:r w:rsidRPr="007C09C2">
              <w:t>użytkowników danej grupy korzysta</w:t>
            </w:r>
            <w:r>
              <w:t>jących</w:t>
            </w:r>
            <w:r w:rsidRPr="007C09C2">
              <w:t xml:space="preserve"> z danej usługi biznesowej</w:t>
            </w:r>
          </w:p>
        </w:tc>
        <w:tc>
          <w:tcPr>
            <w:tcW w:w="2899"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Wskazanie stopnia wykorzystania usługi biznesowej</w:t>
            </w:r>
          </w:p>
        </w:tc>
      </w:tr>
      <w:tr w:rsidR="00654C14"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Default="00654C14" w:rsidP="00A465FF">
            <w:r>
              <w:t xml:space="preserve">Wskaźnik </w:t>
            </w:r>
            <w:proofErr w:type="spellStart"/>
            <w:r w:rsidRPr="000E5C91">
              <w:t>EOpYear</w:t>
            </w:r>
            <w:proofErr w:type="spellEnd"/>
          </w:p>
        </w:tc>
        <w:tc>
          <w:tcPr>
            <w:tcW w:w="3271"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Liczba operacji biznesowych obsługiwanych przez system w kontekście całej populacji użytkowników w skali roku</w:t>
            </w:r>
          </w:p>
        </w:tc>
        <w:tc>
          <w:tcPr>
            <w:tcW w:w="2899"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Rozkład usług biznesowych na podstawie ich złożoności liczonej operacjami biznesowymi</w:t>
            </w:r>
          </w:p>
        </w:tc>
      </w:tr>
      <w:tr w:rsidR="00654C14"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Default="00654C14" w:rsidP="00A465FF">
            <w:r>
              <w:t>W</w:t>
            </w:r>
            <w:r w:rsidRPr="00CE29B4">
              <w:t xml:space="preserve">skaźnik </w:t>
            </w:r>
            <w:proofErr w:type="spellStart"/>
            <w:r>
              <w:t>DV</w:t>
            </w:r>
            <w:r w:rsidRPr="00D411E9">
              <w:t>pBS</w:t>
            </w:r>
            <w:proofErr w:type="spellEnd"/>
          </w:p>
        </w:tc>
        <w:tc>
          <w:tcPr>
            <w:tcW w:w="3271"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 xml:space="preserve">Wolumen danych przesyłany przez jednostkowe wykorzystanie usługi biznesowej przez </w:t>
            </w:r>
            <w:r w:rsidRPr="007C09C2">
              <w:t>użytkowników danej grupy</w:t>
            </w:r>
          </w:p>
        </w:tc>
        <w:tc>
          <w:tcPr>
            <w:tcW w:w="2899" w:type="dxa"/>
          </w:tcPr>
          <w:p w:rsidR="00654C14" w:rsidRDefault="00654C14" w:rsidP="00A465FF">
            <w:pPr>
              <w:cnfStyle w:val="000000100000" w:firstRow="0" w:lastRow="0" w:firstColumn="0" w:lastColumn="0" w:oddVBand="0" w:evenVBand="0" w:oddHBand="1" w:evenHBand="0" w:firstRowFirstColumn="0" w:firstRowLastColumn="0" w:lastRowFirstColumn="0" w:lastRowLastColumn="0"/>
            </w:pPr>
            <w:r>
              <w:t>Wskazanie stopnia wykorzystania usługi biznesowej</w:t>
            </w:r>
          </w:p>
        </w:tc>
      </w:tr>
      <w:tr w:rsidR="00654C14" w:rsidTr="00A46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Default="00654C14" w:rsidP="00A465FF">
            <w:r>
              <w:t xml:space="preserve">Wskaźnik </w:t>
            </w:r>
            <w:proofErr w:type="spellStart"/>
            <w:r>
              <w:t>DV</w:t>
            </w:r>
            <w:r w:rsidRPr="000E5C91">
              <w:t>pYear</w:t>
            </w:r>
            <w:proofErr w:type="spellEnd"/>
          </w:p>
        </w:tc>
        <w:tc>
          <w:tcPr>
            <w:tcW w:w="3271"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Wolumen danych przesyłany w skali roku dla usług biznesowych</w:t>
            </w:r>
          </w:p>
        </w:tc>
        <w:tc>
          <w:tcPr>
            <w:tcW w:w="2899" w:type="dxa"/>
          </w:tcPr>
          <w:p w:rsidR="00654C14" w:rsidRDefault="00654C14" w:rsidP="00A465FF">
            <w:pPr>
              <w:cnfStyle w:val="000000010000" w:firstRow="0" w:lastRow="0" w:firstColumn="0" w:lastColumn="0" w:oddVBand="0" w:evenVBand="0" w:oddHBand="0" w:evenHBand="1" w:firstRowFirstColumn="0" w:firstRowLastColumn="0" w:lastRowFirstColumn="0" w:lastRowLastColumn="0"/>
            </w:pPr>
            <w:r>
              <w:t>Rozkład usług biznesowych na podstawie wolumeny przetwarzanych danych</w:t>
            </w:r>
          </w:p>
        </w:tc>
      </w:tr>
      <w:tr w:rsidR="00654C14" w:rsidRPr="00F35824" w:rsidTr="00A4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54C14" w:rsidRPr="00F35824" w:rsidRDefault="00654C14" w:rsidP="00A465FF">
            <w:r w:rsidRPr="00F35824">
              <w:t>Wolumen danych</w:t>
            </w:r>
          </w:p>
        </w:tc>
        <w:tc>
          <w:tcPr>
            <w:tcW w:w="3271" w:type="dxa"/>
          </w:tcPr>
          <w:p w:rsidR="00654C14" w:rsidRPr="00636BE3" w:rsidRDefault="00654C14" w:rsidP="00A465FF">
            <w:pPr>
              <w:cnfStyle w:val="000000100000" w:firstRow="0" w:lastRow="0" w:firstColumn="0" w:lastColumn="0" w:oddVBand="0" w:evenVBand="0" w:oddHBand="1" w:evenHBand="0" w:firstRowFirstColumn="0" w:firstRowLastColumn="0" w:lastRowFirstColumn="0" w:lastRowLastColumn="0"/>
            </w:pPr>
            <w:r w:rsidRPr="00636BE3">
              <w:t>Miara całkowitego przepływu danych</w:t>
            </w:r>
          </w:p>
        </w:tc>
        <w:tc>
          <w:tcPr>
            <w:tcW w:w="2899" w:type="dxa"/>
          </w:tcPr>
          <w:p w:rsidR="00654C14" w:rsidRPr="00636BE3" w:rsidRDefault="00654C14" w:rsidP="00A465FF">
            <w:pPr>
              <w:cnfStyle w:val="000000100000" w:firstRow="0" w:lastRow="0" w:firstColumn="0" w:lastColumn="0" w:oddVBand="0" w:evenVBand="0" w:oddHBand="1" w:evenHBand="0" w:firstRowFirstColumn="0" w:firstRowLastColumn="0" w:lastRowFirstColumn="0" w:lastRowLastColumn="0"/>
            </w:pPr>
            <w:r w:rsidRPr="00636BE3">
              <w:t>Wynik końcowy szacowania wolumetrii danych</w:t>
            </w:r>
          </w:p>
        </w:tc>
      </w:tr>
    </w:tbl>
    <w:p w:rsidR="00654C14" w:rsidRDefault="00654C14" w:rsidP="008D537A"/>
    <w:sectPr w:rsidR="00654C14" w:rsidSect="004C4B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C7" w:rsidRDefault="009657C7" w:rsidP="00D06ACF">
      <w:pPr>
        <w:spacing w:after="0" w:line="240" w:lineRule="auto"/>
      </w:pPr>
      <w:r>
        <w:separator/>
      </w:r>
    </w:p>
  </w:endnote>
  <w:endnote w:type="continuationSeparator" w:id="0">
    <w:p w:rsidR="009657C7" w:rsidRDefault="009657C7" w:rsidP="00D0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C7" w:rsidRDefault="009657C7" w:rsidP="00D06ACF">
      <w:pPr>
        <w:spacing w:after="0" w:line="240" w:lineRule="auto"/>
      </w:pPr>
      <w:r>
        <w:separator/>
      </w:r>
    </w:p>
  </w:footnote>
  <w:footnote w:type="continuationSeparator" w:id="0">
    <w:p w:rsidR="009657C7" w:rsidRDefault="009657C7" w:rsidP="00D06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851"/>
    <w:multiLevelType w:val="hybridMultilevel"/>
    <w:tmpl w:val="E6806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15CCC"/>
    <w:multiLevelType w:val="hybridMultilevel"/>
    <w:tmpl w:val="A74A5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430241"/>
    <w:multiLevelType w:val="hybridMultilevel"/>
    <w:tmpl w:val="89C23D0E"/>
    <w:lvl w:ilvl="0" w:tplc="1152DE5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C83B7B"/>
    <w:multiLevelType w:val="hybridMultilevel"/>
    <w:tmpl w:val="5B706B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AF64F9"/>
    <w:multiLevelType w:val="hybridMultilevel"/>
    <w:tmpl w:val="890CFA6C"/>
    <w:lvl w:ilvl="0" w:tplc="6A18A452">
      <w:start w:val="8"/>
      <w:numFmt w:val="bullet"/>
      <w:lvlText w:val="•"/>
      <w:lvlJc w:val="left"/>
      <w:pPr>
        <w:ind w:left="1068" w:hanging="708"/>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E919E2"/>
    <w:multiLevelType w:val="hybridMultilevel"/>
    <w:tmpl w:val="3042C65A"/>
    <w:lvl w:ilvl="0" w:tplc="1152DE5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1954E4"/>
    <w:multiLevelType w:val="hybridMultilevel"/>
    <w:tmpl w:val="EDEA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1F2A87"/>
    <w:multiLevelType w:val="hybridMultilevel"/>
    <w:tmpl w:val="B15A60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9E4CC0"/>
    <w:multiLevelType w:val="hybridMultilevel"/>
    <w:tmpl w:val="55CA9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C27B52"/>
    <w:multiLevelType w:val="hybridMultilevel"/>
    <w:tmpl w:val="993E8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9926B4"/>
    <w:multiLevelType w:val="hybridMultilevel"/>
    <w:tmpl w:val="E35E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E097DA9"/>
    <w:multiLevelType w:val="hybridMultilevel"/>
    <w:tmpl w:val="EA08CC8A"/>
    <w:lvl w:ilvl="0" w:tplc="1152DE5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1"/>
  </w:num>
  <w:num w:numId="5">
    <w:abstractNumId w:val="1"/>
  </w:num>
  <w:num w:numId="6">
    <w:abstractNumId w:val="4"/>
  </w:num>
  <w:num w:numId="7">
    <w:abstractNumId w:val="7"/>
  </w:num>
  <w:num w:numId="8">
    <w:abstractNumId w:val="8"/>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59D1"/>
    <w:rsid w:val="000E60E3"/>
    <w:rsid w:val="000F3F8F"/>
    <w:rsid w:val="001D4130"/>
    <w:rsid w:val="00240681"/>
    <w:rsid w:val="002C4758"/>
    <w:rsid w:val="002C5737"/>
    <w:rsid w:val="002F1559"/>
    <w:rsid w:val="00316FD7"/>
    <w:rsid w:val="00327232"/>
    <w:rsid w:val="0034453B"/>
    <w:rsid w:val="00377372"/>
    <w:rsid w:val="003D1C63"/>
    <w:rsid w:val="003E6E4A"/>
    <w:rsid w:val="003F5428"/>
    <w:rsid w:val="004C4BF7"/>
    <w:rsid w:val="004C4C62"/>
    <w:rsid w:val="004E596E"/>
    <w:rsid w:val="004F4DF8"/>
    <w:rsid w:val="00552858"/>
    <w:rsid w:val="00641440"/>
    <w:rsid w:val="00654C14"/>
    <w:rsid w:val="00784963"/>
    <w:rsid w:val="00794F0A"/>
    <w:rsid w:val="007D21E0"/>
    <w:rsid w:val="00827E68"/>
    <w:rsid w:val="00857429"/>
    <w:rsid w:val="00860BB6"/>
    <w:rsid w:val="00867454"/>
    <w:rsid w:val="008730E1"/>
    <w:rsid w:val="008D537A"/>
    <w:rsid w:val="009657C7"/>
    <w:rsid w:val="009D3B94"/>
    <w:rsid w:val="009E3BC4"/>
    <w:rsid w:val="00A14ACF"/>
    <w:rsid w:val="00A4341E"/>
    <w:rsid w:val="00A459D1"/>
    <w:rsid w:val="00A631A4"/>
    <w:rsid w:val="00AF120D"/>
    <w:rsid w:val="00B17151"/>
    <w:rsid w:val="00B824E3"/>
    <w:rsid w:val="00BA132D"/>
    <w:rsid w:val="00C61081"/>
    <w:rsid w:val="00C65FDD"/>
    <w:rsid w:val="00C70A32"/>
    <w:rsid w:val="00C80089"/>
    <w:rsid w:val="00CC0DB1"/>
    <w:rsid w:val="00D06ACF"/>
    <w:rsid w:val="00D06DD1"/>
    <w:rsid w:val="00D6001E"/>
    <w:rsid w:val="00E723D6"/>
    <w:rsid w:val="00EA2E08"/>
    <w:rsid w:val="00ED2134"/>
    <w:rsid w:val="00EE53B6"/>
    <w:rsid w:val="00F22E74"/>
    <w:rsid w:val="00F90840"/>
    <w:rsid w:val="00FB6448"/>
    <w:rsid w:val="00FC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BF7"/>
  </w:style>
  <w:style w:type="paragraph" w:styleId="Nagwek1">
    <w:name w:val="heading 1"/>
    <w:basedOn w:val="Normalny"/>
    <w:next w:val="Normalny"/>
    <w:link w:val="Nagwek1Znak"/>
    <w:uiPriority w:val="9"/>
    <w:qFormat/>
    <w:rsid w:val="00A45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A2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59D1"/>
    <w:rPr>
      <w:rFonts w:asciiTheme="majorHAnsi" w:eastAsiaTheme="majorEastAsia" w:hAnsiTheme="majorHAnsi" w:cstheme="majorBidi"/>
      <w:b/>
      <w:bCs/>
      <w:color w:val="365F91" w:themeColor="accent1" w:themeShade="BF"/>
      <w:sz w:val="28"/>
      <w:szCs w:val="28"/>
    </w:rPr>
  </w:style>
  <w:style w:type="paragraph" w:styleId="Mapadokumentu">
    <w:name w:val="Document Map"/>
    <w:basedOn w:val="Normalny"/>
    <w:link w:val="MapadokumentuZnak"/>
    <w:uiPriority w:val="99"/>
    <w:semiHidden/>
    <w:unhideWhenUsed/>
    <w:rsid w:val="00A459D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459D1"/>
    <w:rPr>
      <w:rFonts w:ascii="Tahoma" w:hAnsi="Tahoma" w:cs="Tahoma"/>
      <w:sz w:val="16"/>
      <w:szCs w:val="16"/>
    </w:rPr>
  </w:style>
  <w:style w:type="paragraph" w:styleId="Akapitzlist">
    <w:name w:val="List Paragraph"/>
    <w:basedOn w:val="Normalny"/>
    <w:uiPriority w:val="34"/>
    <w:qFormat/>
    <w:rsid w:val="009E3BC4"/>
    <w:pPr>
      <w:ind w:left="720"/>
      <w:contextualSpacing/>
    </w:pPr>
  </w:style>
  <w:style w:type="paragraph" w:styleId="Legenda">
    <w:name w:val="caption"/>
    <w:aliases w:val="legenda"/>
    <w:basedOn w:val="Normalny"/>
    <w:next w:val="Normalny"/>
    <w:autoRedefine/>
    <w:uiPriority w:val="1"/>
    <w:qFormat/>
    <w:rsid w:val="00C61081"/>
    <w:pPr>
      <w:keepLines/>
      <w:suppressAutoHyphens/>
      <w:spacing w:before="60" w:after="180"/>
      <w:ind w:left="1276" w:hanging="709"/>
    </w:pPr>
    <w:rPr>
      <w:rFonts w:ascii="Calibri" w:eastAsia="Times New Roman" w:hAnsi="Calibri" w:cs="Times New Roman"/>
      <w:i/>
      <w:lang w:eastAsia="pl-PL"/>
    </w:rPr>
  </w:style>
  <w:style w:type="paragraph" w:styleId="Tekstdymka">
    <w:name w:val="Balloon Text"/>
    <w:basedOn w:val="Normalny"/>
    <w:link w:val="TekstdymkaZnak"/>
    <w:uiPriority w:val="99"/>
    <w:semiHidden/>
    <w:unhideWhenUsed/>
    <w:rsid w:val="00C610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081"/>
    <w:rPr>
      <w:rFonts w:ascii="Tahoma" w:hAnsi="Tahoma" w:cs="Tahoma"/>
      <w:sz w:val="16"/>
      <w:szCs w:val="16"/>
    </w:rPr>
  </w:style>
  <w:style w:type="table" w:styleId="Jasnasiatkaakcent3">
    <w:name w:val="Light Grid Accent 3"/>
    <w:basedOn w:val="Standardowy"/>
    <w:uiPriority w:val="62"/>
    <w:rsid w:val="00654C14"/>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Nagwek2Znak">
    <w:name w:val="Nagłówek 2 Znak"/>
    <w:basedOn w:val="Domylnaczcionkaakapitu"/>
    <w:link w:val="Nagwek2"/>
    <w:uiPriority w:val="9"/>
    <w:rsid w:val="00EA2E08"/>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40681"/>
    <w:rPr>
      <w:sz w:val="16"/>
      <w:szCs w:val="16"/>
    </w:rPr>
  </w:style>
  <w:style w:type="paragraph" w:styleId="Tekstkomentarza">
    <w:name w:val="annotation text"/>
    <w:basedOn w:val="Normalny"/>
    <w:link w:val="TekstkomentarzaZnak"/>
    <w:uiPriority w:val="99"/>
    <w:semiHidden/>
    <w:unhideWhenUsed/>
    <w:rsid w:val="002406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681"/>
    <w:rPr>
      <w:sz w:val="20"/>
      <w:szCs w:val="20"/>
    </w:rPr>
  </w:style>
  <w:style w:type="paragraph" w:styleId="Tematkomentarza">
    <w:name w:val="annotation subject"/>
    <w:basedOn w:val="Tekstkomentarza"/>
    <w:next w:val="Tekstkomentarza"/>
    <w:link w:val="TematkomentarzaZnak"/>
    <w:uiPriority w:val="99"/>
    <w:semiHidden/>
    <w:unhideWhenUsed/>
    <w:rsid w:val="00240681"/>
    <w:rPr>
      <w:b/>
      <w:bCs/>
    </w:rPr>
  </w:style>
  <w:style w:type="character" w:customStyle="1" w:styleId="TematkomentarzaZnak">
    <w:name w:val="Temat komentarza Znak"/>
    <w:basedOn w:val="TekstkomentarzaZnak"/>
    <w:link w:val="Tematkomentarza"/>
    <w:uiPriority w:val="99"/>
    <w:semiHidden/>
    <w:rsid w:val="00240681"/>
    <w:rPr>
      <w:b/>
      <w:bCs/>
      <w:sz w:val="20"/>
      <w:szCs w:val="20"/>
    </w:rPr>
  </w:style>
  <w:style w:type="character" w:styleId="Wyrnieniedelikatne">
    <w:name w:val="Subtle Emphasis"/>
    <w:uiPriority w:val="19"/>
    <w:qFormat/>
    <w:rsid w:val="00552858"/>
    <w:rPr>
      <w:i/>
      <w:iCs/>
      <w:color w:val="808080"/>
    </w:rPr>
  </w:style>
  <w:style w:type="paragraph" w:styleId="Nagwek">
    <w:name w:val="header"/>
    <w:basedOn w:val="Normalny"/>
    <w:link w:val="NagwekZnak"/>
    <w:uiPriority w:val="99"/>
    <w:unhideWhenUsed/>
    <w:rsid w:val="00D06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ACF"/>
  </w:style>
  <w:style w:type="paragraph" w:styleId="Stopka">
    <w:name w:val="footer"/>
    <w:basedOn w:val="Normalny"/>
    <w:link w:val="StopkaZnak"/>
    <w:uiPriority w:val="99"/>
    <w:unhideWhenUsed/>
    <w:rsid w:val="00D06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C3293C-11DD-4AA3-A15D-DEA1AED93D9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pl-PL"/>
        </a:p>
      </dgm:t>
    </dgm:pt>
    <dgm:pt modelId="{A7F26C67-4DF2-43CF-9E53-1BACB818F809}">
      <dgm:prSet phldrT="[Tekst]"/>
      <dgm:spPr/>
      <dgm:t>
        <a:bodyPr/>
        <a:lstStyle/>
        <a:p>
          <a:r>
            <a:rPr lang="pl-PL"/>
            <a:t>Parametry początkowe</a:t>
          </a:r>
        </a:p>
      </dgm:t>
    </dgm:pt>
    <dgm:pt modelId="{63DBECA0-4340-4E90-B067-C1CEF767D318}" type="parTrans" cxnId="{350C5E1B-6008-49D0-B14A-90473F2D9BC6}">
      <dgm:prSet/>
      <dgm:spPr/>
      <dgm:t>
        <a:bodyPr/>
        <a:lstStyle/>
        <a:p>
          <a:endParaRPr lang="pl-PL"/>
        </a:p>
      </dgm:t>
    </dgm:pt>
    <dgm:pt modelId="{24B36A00-1C1F-4CFC-9E52-E26AC5655CBD}" type="sibTrans" cxnId="{350C5E1B-6008-49D0-B14A-90473F2D9BC6}">
      <dgm:prSet/>
      <dgm:spPr/>
      <dgm:t>
        <a:bodyPr/>
        <a:lstStyle/>
        <a:p>
          <a:endParaRPr lang="pl-PL"/>
        </a:p>
      </dgm:t>
    </dgm:pt>
    <dgm:pt modelId="{A3677715-1FBA-403C-8A09-BF795E57EBA3}">
      <dgm:prSet phldrT="[Tekst]"/>
      <dgm:spPr/>
      <dgm:t>
        <a:bodyPr/>
        <a:lstStyle/>
        <a:p>
          <a:r>
            <a:rPr lang="pl-PL" b="0" i="0" u="none"/>
            <a:t>Liczba użytkowników</a:t>
          </a:r>
          <a:endParaRPr lang="pl-PL"/>
        </a:p>
      </dgm:t>
    </dgm:pt>
    <dgm:pt modelId="{6F2F105A-E3C6-4237-BAEF-21240E17DBFA}" type="parTrans" cxnId="{7B8CA96D-70F6-4B3D-A38E-19FF33E8810A}">
      <dgm:prSet/>
      <dgm:spPr/>
      <dgm:t>
        <a:bodyPr/>
        <a:lstStyle/>
        <a:p>
          <a:endParaRPr lang="pl-PL"/>
        </a:p>
      </dgm:t>
    </dgm:pt>
    <dgm:pt modelId="{BA32F182-AA43-4A31-87FC-0E7DDC6B3943}" type="sibTrans" cxnId="{7B8CA96D-70F6-4B3D-A38E-19FF33E8810A}">
      <dgm:prSet/>
      <dgm:spPr/>
      <dgm:t>
        <a:bodyPr/>
        <a:lstStyle/>
        <a:p>
          <a:endParaRPr lang="pl-PL"/>
        </a:p>
      </dgm:t>
    </dgm:pt>
    <dgm:pt modelId="{3D813B93-D85F-4956-9434-DA31300975B7}">
      <dgm:prSet phldrT="[Tekst]"/>
      <dgm:spPr/>
      <dgm:t>
        <a:bodyPr/>
        <a:lstStyle/>
        <a:p>
          <a:r>
            <a:rPr lang="pl-PL"/>
            <a:t>Szacowanie</a:t>
          </a:r>
        </a:p>
      </dgm:t>
    </dgm:pt>
    <dgm:pt modelId="{17382DA2-31CE-4AC2-91E2-F067EBED7BA1}" type="parTrans" cxnId="{226F4060-AC48-432B-AE74-87B42AEFE0CB}">
      <dgm:prSet/>
      <dgm:spPr/>
      <dgm:t>
        <a:bodyPr/>
        <a:lstStyle/>
        <a:p>
          <a:endParaRPr lang="pl-PL"/>
        </a:p>
      </dgm:t>
    </dgm:pt>
    <dgm:pt modelId="{CF0864F5-66DC-4F22-A433-7950D2309C5B}" type="sibTrans" cxnId="{226F4060-AC48-432B-AE74-87B42AEFE0CB}">
      <dgm:prSet/>
      <dgm:spPr/>
      <dgm:t>
        <a:bodyPr/>
        <a:lstStyle/>
        <a:p>
          <a:endParaRPr lang="pl-PL"/>
        </a:p>
      </dgm:t>
    </dgm:pt>
    <dgm:pt modelId="{95D9D0D7-6089-4A8C-B3DB-7CA86646B9C3}">
      <dgm:prSet phldrT="[Tekst]"/>
      <dgm:spPr/>
      <dgm:t>
        <a:bodyPr/>
        <a:lstStyle/>
        <a:p>
          <a:r>
            <a:rPr lang="pl-PL"/>
            <a:t>Ustalenie współczynnika wykorzystania scenariuszy</a:t>
          </a:r>
        </a:p>
      </dgm:t>
    </dgm:pt>
    <dgm:pt modelId="{07FF71F0-031A-445C-ADEE-8159AD8A9522}" type="parTrans" cxnId="{5F4AEB60-B58B-4D12-A56C-D039F2E3982B}">
      <dgm:prSet/>
      <dgm:spPr/>
      <dgm:t>
        <a:bodyPr/>
        <a:lstStyle/>
        <a:p>
          <a:endParaRPr lang="pl-PL"/>
        </a:p>
      </dgm:t>
    </dgm:pt>
    <dgm:pt modelId="{2715621C-A304-4353-9445-9DF88C42E90C}" type="sibTrans" cxnId="{5F4AEB60-B58B-4D12-A56C-D039F2E3982B}">
      <dgm:prSet/>
      <dgm:spPr/>
      <dgm:t>
        <a:bodyPr/>
        <a:lstStyle/>
        <a:p>
          <a:endParaRPr lang="pl-PL"/>
        </a:p>
      </dgm:t>
    </dgm:pt>
    <dgm:pt modelId="{E428B67C-381F-4444-9E45-1D4B5CEBCCBA}">
      <dgm:prSet phldrT="[Tekst]"/>
      <dgm:spPr/>
      <dgm:t>
        <a:bodyPr/>
        <a:lstStyle/>
        <a:p>
          <a:r>
            <a:rPr lang="pl-PL"/>
            <a:t>Interpretacja wyników</a:t>
          </a:r>
        </a:p>
      </dgm:t>
    </dgm:pt>
    <dgm:pt modelId="{E56D3CB7-01FB-4DBC-9CFB-AE83EF55B149}" type="parTrans" cxnId="{BC79963B-AF91-4DDC-B608-B280AFEFAB54}">
      <dgm:prSet/>
      <dgm:spPr/>
      <dgm:t>
        <a:bodyPr/>
        <a:lstStyle/>
        <a:p>
          <a:endParaRPr lang="pl-PL"/>
        </a:p>
      </dgm:t>
    </dgm:pt>
    <dgm:pt modelId="{C33A28C5-1B46-4E41-B488-0AFDEF82B556}" type="sibTrans" cxnId="{BC79963B-AF91-4DDC-B608-B280AFEFAB54}">
      <dgm:prSet/>
      <dgm:spPr/>
      <dgm:t>
        <a:bodyPr/>
        <a:lstStyle/>
        <a:p>
          <a:endParaRPr lang="pl-PL"/>
        </a:p>
      </dgm:t>
    </dgm:pt>
    <dgm:pt modelId="{BC6B5FD9-D732-4287-A9BB-A9490F550E96}">
      <dgm:prSet phldrT="[Tekst]"/>
      <dgm:spPr/>
      <dgm:t>
        <a:bodyPr/>
        <a:lstStyle/>
        <a:p>
          <a:r>
            <a:rPr lang="pl-PL"/>
            <a:t>Określenie zmian w infrastrukturze</a:t>
          </a:r>
        </a:p>
      </dgm:t>
    </dgm:pt>
    <dgm:pt modelId="{6424CE3E-8032-4105-BA65-5FD4BB196AC5}" type="parTrans" cxnId="{FE24767C-5BA5-49CA-830F-B05BA4351AC3}">
      <dgm:prSet/>
      <dgm:spPr/>
      <dgm:t>
        <a:bodyPr/>
        <a:lstStyle/>
        <a:p>
          <a:endParaRPr lang="pl-PL"/>
        </a:p>
      </dgm:t>
    </dgm:pt>
    <dgm:pt modelId="{8BD4F51E-5744-47D6-8332-6717684005F3}" type="sibTrans" cxnId="{FE24767C-5BA5-49CA-830F-B05BA4351AC3}">
      <dgm:prSet/>
      <dgm:spPr/>
      <dgm:t>
        <a:bodyPr/>
        <a:lstStyle/>
        <a:p>
          <a:endParaRPr lang="pl-PL"/>
        </a:p>
      </dgm:t>
    </dgm:pt>
    <dgm:pt modelId="{C5326D47-54DB-435D-8ADC-38BAA47ED409}">
      <dgm:prSet/>
      <dgm:spPr/>
      <dgm:t>
        <a:bodyPr/>
        <a:lstStyle/>
        <a:p>
          <a:r>
            <a:rPr lang="pl-PL" b="0" i="0" u="none"/>
            <a:t>Liczba operacji biznesowych</a:t>
          </a:r>
          <a:endParaRPr lang="pl-PL"/>
        </a:p>
      </dgm:t>
    </dgm:pt>
    <dgm:pt modelId="{DF5A2D07-DC5E-4C84-8210-5674BC4449E1}" type="parTrans" cxnId="{B23887F7-18CD-4210-A8B3-FCCA21962FEE}">
      <dgm:prSet/>
      <dgm:spPr/>
      <dgm:t>
        <a:bodyPr/>
        <a:lstStyle/>
        <a:p>
          <a:endParaRPr lang="pl-PL"/>
        </a:p>
      </dgm:t>
    </dgm:pt>
    <dgm:pt modelId="{B27CA57B-EEA8-4DFF-AE40-B553F34203F7}" type="sibTrans" cxnId="{B23887F7-18CD-4210-A8B3-FCCA21962FEE}">
      <dgm:prSet/>
      <dgm:spPr/>
      <dgm:t>
        <a:bodyPr/>
        <a:lstStyle/>
        <a:p>
          <a:endParaRPr lang="pl-PL"/>
        </a:p>
      </dgm:t>
    </dgm:pt>
    <dgm:pt modelId="{DE0BFF43-3DF8-409E-B8A3-B0DB9994F745}">
      <dgm:prSet/>
      <dgm:spPr/>
      <dgm:t>
        <a:bodyPr/>
        <a:lstStyle/>
        <a:p>
          <a:r>
            <a:rPr lang="pl-PL"/>
            <a:t>Wolumen danych</a:t>
          </a:r>
        </a:p>
      </dgm:t>
    </dgm:pt>
    <dgm:pt modelId="{F8F49DBB-29F2-479E-BC1F-4AD58FFFA499}" type="parTrans" cxnId="{D7F03958-CE7D-4DC7-9E7C-6A9D158609B8}">
      <dgm:prSet/>
      <dgm:spPr/>
      <dgm:t>
        <a:bodyPr/>
        <a:lstStyle/>
        <a:p>
          <a:endParaRPr lang="pl-PL"/>
        </a:p>
      </dgm:t>
    </dgm:pt>
    <dgm:pt modelId="{B5932E48-BFF7-4AB3-86F0-179B1AF25421}" type="sibTrans" cxnId="{D7F03958-CE7D-4DC7-9E7C-6A9D158609B8}">
      <dgm:prSet/>
      <dgm:spPr/>
      <dgm:t>
        <a:bodyPr/>
        <a:lstStyle/>
        <a:p>
          <a:endParaRPr lang="pl-PL"/>
        </a:p>
      </dgm:t>
    </dgm:pt>
    <dgm:pt modelId="{AEA5320D-6590-42DF-B793-38A1806D1BDC}">
      <dgm:prSet/>
      <dgm:spPr/>
      <dgm:t>
        <a:bodyPr/>
        <a:lstStyle/>
        <a:p>
          <a:r>
            <a:rPr lang="pl-PL" b="0" i="0" u="none"/>
            <a:t>Statystyki roczne</a:t>
          </a:r>
          <a:endParaRPr lang="pl-PL"/>
        </a:p>
      </dgm:t>
    </dgm:pt>
    <dgm:pt modelId="{226677BD-E3BF-4A8D-A51A-1C6F13ACF422}" type="parTrans" cxnId="{0F765B9F-83CD-4553-ADC4-A95A8CDC0912}">
      <dgm:prSet/>
      <dgm:spPr/>
      <dgm:t>
        <a:bodyPr/>
        <a:lstStyle/>
        <a:p>
          <a:endParaRPr lang="pl-PL"/>
        </a:p>
      </dgm:t>
    </dgm:pt>
    <dgm:pt modelId="{ED6D9448-448A-4C8B-91E6-9A79B0D43A9C}" type="sibTrans" cxnId="{0F765B9F-83CD-4553-ADC4-A95A8CDC0912}">
      <dgm:prSet/>
      <dgm:spPr/>
      <dgm:t>
        <a:bodyPr/>
        <a:lstStyle/>
        <a:p>
          <a:endParaRPr lang="pl-PL"/>
        </a:p>
      </dgm:t>
    </dgm:pt>
    <dgm:pt modelId="{3B484F7D-E76E-465C-86D2-43C55F426B5A}">
      <dgm:prSet/>
      <dgm:spPr/>
      <dgm:t>
        <a:bodyPr/>
        <a:lstStyle/>
        <a:p>
          <a:r>
            <a:rPr lang="pl-PL"/>
            <a:t>Określenie złożoności scenariuszy</a:t>
          </a:r>
        </a:p>
      </dgm:t>
    </dgm:pt>
    <dgm:pt modelId="{E7BF31B2-8C1C-46E7-95D3-68A9FC570ACB}" type="parTrans" cxnId="{880C8A06-0070-4C65-854D-247B9AC97012}">
      <dgm:prSet/>
      <dgm:spPr/>
      <dgm:t>
        <a:bodyPr/>
        <a:lstStyle/>
        <a:p>
          <a:endParaRPr lang="pl-PL"/>
        </a:p>
      </dgm:t>
    </dgm:pt>
    <dgm:pt modelId="{7B0959C4-AFB5-4CD4-81EE-2592CAD11E2F}" type="sibTrans" cxnId="{880C8A06-0070-4C65-854D-247B9AC97012}">
      <dgm:prSet/>
      <dgm:spPr/>
      <dgm:t>
        <a:bodyPr/>
        <a:lstStyle/>
        <a:p>
          <a:endParaRPr lang="pl-PL"/>
        </a:p>
      </dgm:t>
    </dgm:pt>
    <dgm:pt modelId="{C6A287CD-DC98-405E-9EBA-49C54B7F8B0C}">
      <dgm:prSet/>
      <dgm:spPr/>
      <dgm:t>
        <a:bodyPr/>
        <a:lstStyle/>
        <a:p>
          <a:r>
            <a:rPr lang="pl-PL"/>
            <a:t>Ustalenie częstości wykorzystania scenariuszy</a:t>
          </a:r>
        </a:p>
      </dgm:t>
    </dgm:pt>
    <dgm:pt modelId="{7350EF2F-2888-4C62-9320-886EF93DAEDC}" type="parTrans" cxnId="{2F099CBE-D7D4-4611-99F4-68EF915043A0}">
      <dgm:prSet/>
      <dgm:spPr/>
      <dgm:t>
        <a:bodyPr/>
        <a:lstStyle/>
        <a:p>
          <a:endParaRPr lang="pl-PL"/>
        </a:p>
      </dgm:t>
    </dgm:pt>
    <dgm:pt modelId="{6075E3CC-E288-40A3-A538-0D5E6D10F5AF}" type="sibTrans" cxnId="{2F099CBE-D7D4-4611-99F4-68EF915043A0}">
      <dgm:prSet/>
      <dgm:spPr/>
      <dgm:t>
        <a:bodyPr/>
        <a:lstStyle/>
        <a:p>
          <a:endParaRPr lang="pl-PL"/>
        </a:p>
      </dgm:t>
    </dgm:pt>
    <dgm:pt modelId="{691077A2-64B3-4C54-B1BE-14D27238BBC7}">
      <dgm:prSet/>
      <dgm:spPr/>
      <dgm:t>
        <a:bodyPr/>
        <a:lstStyle/>
        <a:p>
          <a:r>
            <a:rPr lang="pl-PL"/>
            <a:t>Określenie scenariuszy</a:t>
          </a:r>
        </a:p>
      </dgm:t>
    </dgm:pt>
    <dgm:pt modelId="{721C34E7-3FE0-4221-BD12-6E5442D5FCCD}" type="parTrans" cxnId="{78221861-F5E7-47CE-83AB-F4821B9579FC}">
      <dgm:prSet/>
      <dgm:spPr/>
      <dgm:t>
        <a:bodyPr/>
        <a:lstStyle/>
        <a:p>
          <a:endParaRPr lang="pl-PL"/>
        </a:p>
      </dgm:t>
    </dgm:pt>
    <dgm:pt modelId="{54A1CDB3-0D83-48A7-9DB2-71821843CBAF}" type="sibTrans" cxnId="{78221861-F5E7-47CE-83AB-F4821B9579FC}">
      <dgm:prSet/>
      <dgm:spPr/>
      <dgm:t>
        <a:bodyPr/>
        <a:lstStyle/>
        <a:p>
          <a:endParaRPr lang="pl-PL"/>
        </a:p>
      </dgm:t>
    </dgm:pt>
    <dgm:pt modelId="{B70CF02B-A6A5-47C1-847D-689CEE7C2E40}" type="pres">
      <dgm:prSet presAssocID="{E2C3293C-11DD-4AA3-A15D-DEA1AED93D9C}" presName="linearFlow" presStyleCnt="0">
        <dgm:presLayoutVars>
          <dgm:dir/>
          <dgm:animLvl val="lvl"/>
          <dgm:resizeHandles val="exact"/>
        </dgm:presLayoutVars>
      </dgm:prSet>
      <dgm:spPr/>
      <dgm:t>
        <a:bodyPr/>
        <a:lstStyle/>
        <a:p>
          <a:endParaRPr lang="pl-PL"/>
        </a:p>
      </dgm:t>
    </dgm:pt>
    <dgm:pt modelId="{A94EE052-77D7-4D06-A96D-51CDF0F93C31}" type="pres">
      <dgm:prSet presAssocID="{A7F26C67-4DF2-43CF-9E53-1BACB818F809}" presName="composite" presStyleCnt="0"/>
      <dgm:spPr/>
    </dgm:pt>
    <dgm:pt modelId="{6B7D9E89-4309-4CFF-8E5C-86EDD96E98C6}" type="pres">
      <dgm:prSet presAssocID="{A7F26C67-4DF2-43CF-9E53-1BACB818F809}" presName="parTx" presStyleLbl="node1" presStyleIdx="0" presStyleCnt="3">
        <dgm:presLayoutVars>
          <dgm:chMax val="0"/>
          <dgm:chPref val="0"/>
          <dgm:bulletEnabled val="1"/>
        </dgm:presLayoutVars>
      </dgm:prSet>
      <dgm:spPr/>
      <dgm:t>
        <a:bodyPr/>
        <a:lstStyle/>
        <a:p>
          <a:endParaRPr lang="pl-PL"/>
        </a:p>
      </dgm:t>
    </dgm:pt>
    <dgm:pt modelId="{5217AD57-932A-437F-B6ED-04B27E2CE852}" type="pres">
      <dgm:prSet presAssocID="{A7F26C67-4DF2-43CF-9E53-1BACB818F809}" presName="parSh" presStyleLbl="node1" presStyleIdx="0" presStyleCnt="3"/>
      <dgm:spPr/>
      <dgm:t>
        <a:bodyPr/>
        <a:lstStyle/>
        <a:p>
          <a:endParaRPr lang="pl-PL"/>
        </a:p>
      </dgm:t>
    </dgm:pt>
    <dgm:pt modelId="{91EBEBC4-4D52-4AF5-A1D4-F98038401A43}" type="pres">
      <dgm:prSet presAssocID="{A7F26C67-4DF2-43CF-9E53-1BACB818F809}" presName="desTx" presStyleLbl="fgAcc1" presStyleIdx="0" presStyleCnt="3">
        <dgm:presLayoutVars>
          <dgm:bulletEnabled val="1"/>
        </dgm:presLayoutVars>
      </dgm:prSet>
      <dgm:spPr/>
      <dgm:t>
        <a:bodyPr/>
        <a:lstStyle/>
        <a:p>
          <a:endParaRPr lang="pl-PL"/>
        </a:p>
      </dgm:t>
    </dgm:pt>
    <dgm:pt modelId="{43FEE7C2-17E1-4615-B3A0-FA21BA4CCA9B}" type="pres">
      <dgm:prSet presAssocID="{24B36A00-1C1F-4CFC-9E52-E26AC5655CBD}" presName="sibTrans" presStyleLbl="sibTrans2D1" presStyleIdx="0" presStyleCnt="2"/>
      <dgm:spPr/>
      <dgm:t>
        <a:bodyPr/>
        <a:lstStyle/>
        <a:p>
          <a:endParaRPr lang="pl-PL"/>
        </a:p>
      </dgm:t>
    </dgm:pt>
    <dgm:pt modelId="{A060EEE1-88F8-4EEE-B3ED-8D215A7E6DA1}" type="pres">
      <dgm:prSet presAssocID="{24B36A00-1C1F-4CFC-9E52-E26AC5655CBD}" presName="connTx" presStyleLbl="sibTrans2D1" presStyleIdx="0" presStyleCnt="2"/>
      <dgm:spPr/>
      <dgm:t>
        <a:bodyPr/>
        <a:lstStyle/>
        <a:p>
          <a:endParaRPr lang="pl-PL"/>
        </a:p>
      </dgm:t>
    </dgm:pt>
    <dgm:pt modelId="{FDF89DE8-CA8A-4000-9CCA-1C07149002AC}" type="pres">
      <dgm:prSet presAssocID="{3D813B93-D85F-4956-9434-DA31300975B7}" presName="composite" presStyleCnt="0"/>
      <dgm:spPr/>
    </dgm:pt>
    <dgm:pt modelId="{4FAE5204-47E4-47A0-A1B3-A327B6CA18CE}" type="pres">
      <dgm:prSet presAssocID="{3D813B93-D85F-4956-9434-DA31300975B7}" presName="parTx" presStyleLbl="node1" presStyleIdx="0" presStyleCnt="3">
        <dgm:presLayoutVars>
          <dgm:chMax val="0"/>
          <dgm:chPref val="0"/>
          <dgm:bulletEnabled val="1"/>
        </dgm:presLayoutVars>
      </dgm:prSet>
      <dgm:spPr/>
      <dgm:t>
        <a:bodyPr/>
        <a:lstStyle/>
        <a:p>
          <a:endParaRPr lang="pl-PL"/>
        </a:p>
      </dgm:t>
    </dgm:pt>
    <dgm:pt modelId="{45EE4308-F085-457D-B399-C8DA01B149A8}" type="pres">
      <dgm:prSet presAssocID="{3D813B93-D85F-4956-9434-DA31300975B7}" presName="parSh" presStyleLbl="node1" presStyleIdx="1" presStyleCnt="3"/>
      <dgm:spPr/>
      <dgm:t>
        <a:bodyPr/>
        <a:lstStyle/>
        <a:p>
          <a:endParaRPr lang="pl-PL"/>
        </a:p>
      </dgm:t>
    </dgm:pt>
    <dgm:pt modelId="{87B3199C-8720-406A-A077-12D99FFA3B9B}" type="pres">
      <dgm:prSet presAssocID="{3D813B93-D85F-4956-9434-DA31300975B7}" presName="desTx" presStyleLbl="fgAcc1" presStyleIdx="1" presStyleCnt="3">
        <dgm:presLayoutVars>
          <dgm:bulletEnabled val="1"/>
        </dgm:presLayoutVars>
      </dgm:prSet>
      <dgm:spPr/>
      <dgm:t>
        <a:bodyPr/>
        <a:lstStyle/>
        <a:p>
          <a:endParaRPr lang="pl-PL"/>
        </a:p>
      </dgm:t>
    </dgm:pt>
    <dgm:pt modelId="{128E1483-4D07-4ED6-AF4F-FB7F68DF098E}" type="pres">
      <dgm:prSet presAssocID="{CF0864F5-66DC-4F22-A433-7950D2309C5B}" presName="sibTrans" presStyleLbl="sibTrans2D1" presStyleIdx="1" presStyleCnt="2"/>
      <dgm:spPr/>
      <dgm:t>
        <a:bodyPr/>
        <a:lstStyle/>
        <a:p>
          <a:endParaRPr lang="pl-PL"/>
        </a:p>
      </dgm:t>
    </dgm:pt>
    <dgm:pt modelId="{CED39629-D2CF-488C-919D-9E5F6AB55015}" type="pres">
      <dgm:prSet presAssocID="{CF0864F5-66DC-4F22-A433-7950D2309C5B}" presName="connTx" presStyleLbl="sibTrans2D1" presStyleIdx="1" presStyleCnt="2"/>
      <dgm:spPr/>
      <dgm:t>
        <a:bodyPr/>
        <a:lstStyle/>
        <a:p>
          <a:endParaRPr lang="pl-PL"/>
        </a:p>
      </dgm:t>
    </dgm:pt>
    <dgm:pt modelId="{00BC5366-3A9C-4405-8EA5-06AEE11F53C2}" type="pres">
      <dgm:prSet presAssocID="{E428B67C-381F-4444-9E45-1D4B5CEBCCBA}" presName="composite" presStyleCnt="0"/>
      <dgm:spPr/>
    </dgm:pt>
    <dgm:pt modelId="{F8B6E5DA-D3DE-4B20-B16A-A5E928796CBC}" type="pres">
      <dgm:prSet presAssocID="{E428B67C-381F-4444-9E45-1D4B5CEBCCBA}" presName="parTx" presStyleLbl="node1" presStyleIdx="1" presStyleCnt="3">
        <dgm:presLayoutVars>
          <dgm:chMax val="0"/>
          <dgm:chPref val="0"/>
          <dgm:bulletEnabled val="1"/>
        </dgm:presLayoutVars>
      </dgm:prSet>
      <dgm:spPr/>
      <dgm:t>
        <a:bodyPr/>
        <a:lstStyle/>
        <a:p>
          <a:endParaRPr lang="pl-PL"/>
        </a:p>
      </dgm:t>
    </dgm:pt>
    <dgm:pt modelId="{7DFADBDA-C227-4F92-B6EF-8F395909EE91}" type="pres">
      <dgm:prSet presAssocID="{E428B67C-381F-4444-9E45-1D4B5CEBCCBA}" presName="parSh" presStyleLbl="node1" presStyleIdx="2" presStyleCnt="3"/>
      <dgm:spPr/>
      <dgm:t>
        <a:bodyPr/>
        <a:lstStyle/>
        <a:p>
          <a:endParaRPr lang="pl-PL"/>
        </a:p>
      </dgm:t>
    </dgm:pt>
    <dgm:pt modelId="{B9BAA922-0DFD-4302-97B4-BE2BBD2C76B8}" type="pres">
      <dgm:prSet presAssocID="{E428B67C-381F-4444-9E45-1D4B5CEBCCBA}" presName="desTx" presStyleLbl="fgAcc1" presStyleIdx="2" presStyleCnt="3">
        <dgm:presLayoutVars>
          <dgm:bulletEnabled val="1"/>
        </dgm:presLayoutVars>
      </dgm:prSet>
      <dgm:spPr/>
      <dgm:t>
        <a:bodyPr/>
        <a:lstStyle/>
        <a:p>
          <a:endParaRPr lang="pl-PL"/>
        </a:p>
      </dgm:t>
    </dgm:pt>
  </dgm:ptLst>
  <dgm:cxnLst>
    <dgm:cxn modelId="{880C8A06-0070-4C65-854D-247B9AC97012}" srcId="{3D813B93-D85F-4956-9434-DA31300975B7}" destId="{3B484F7D-E76E-465C-86D2-43C55F426B5A}" srcOrd="1" destOrd="0" parTransId="{E7BF31B2-8C1C-46E7-95D3-68A9FC570ACB}" sibTransId="{7B0959C4-AFB5-4CD4-81EE-2592CAD11E2F}"/>
    <dgm:cxn modelId="{5F4AEB60-B58B-4D12-A56C-D039F2E3982B}" srcId="{3D813B93-D85F-4956-9434-DA31300975B7}" destId="{95D9D0D7-6089-4A8C-B3DB-7CA86646B9C3}" srcOrd="0" destOrd="0" parTransId="{07FF71F0-031A-445C-ADEE-8159AD8A9522}" sibTransId="{2715621C-A304-4353-9445-9DF88C42E90C}"/>
    <dgm:cxn modelId="{1964F2B8-87FD-4970-ABD0-AB1CD4CE8FAF}" type="presOf" srcId="{BC6B5FD9-D732-4287-A9BB-A9490F550E96}" destId="{B9BAA922-0DFD-4302-97B4-BE2BBD2C76B8}" srcOrd="0" destOrd="0" presId="urn:microsoft.com/office/officeart/2005/8/layout/process3"/>
    <dgm:cxn modelId="{E4B3270C-1621-4FFD-9B37-E2651C550680}" type="presOf" srcId="{DE0BFF43-3DF8-409E-B8A3-B0DB9994F745}" destId="{91EBEBC4-4D52-4AF5-A1D4-F98038401A43}" srcOrd="0" destOrd="2" presId="urn:microsoft.com/office/officeart/2005/8/layout/process3"/>
    <dgm:cxn modelId="{78221861-F5E7-47CE-83AB-F4821B9579FC}" srcId="{A7F26C67-4DF2-43CF-9E53-1BACB818F809}" destId="{691077A2-64B3-4C54-B1BE-14D27238BBC7}" srcOrd="4" destOrd="0" parTransId="{721C34E7-3FE0-4221-BD12-6E5442D5FCCD}" sibTransId="{54A1CDB3-0D83-48A7-9DB2-71821843CBAF}"/>
    <dgm:cxn modelId="{ABC32CDA-9FB7-44F1-8944-DC79F4D27BA8}" type="presOf" srcId="{A3677715-1FBA-403C-8A09-BF795E57EBA3}" destId="{91EBEBC4-4D52-4AF5-A1D4-F98038401A43}" srcOrd="0" destOrd="0" presId="urn:microsoft.com/office/officeart/2005/8/layout/process3"/>
    <dgm:cxn modelId="{19F2AF33-71F2-4C19-BC23-28BF21C9D756}" type="presOf" srcId="{A7F26C67-4DF2-43CF-9E53-1BACB818F809}" destId="{6B7D9E89-4309-4CFF-8E5C-86EDD96E98C6}" srcOrd="0" destOrd="0" presId="urn:microsoft.com/office/officeart/2005/8/layout/process3"/>
    <dgm:cxn modelId="{AB1A088F-89A0-428A-9606-1AE7B2B57275}" type="presOf" srcId="{A7F26C67-4DF2-43CF-9E53-1BACB818F809}" destId="{5217AD57-932A-437F-B6ED-04B27E2CE852}" srcOrd="1" destOrd="0" presId="urn:microsoft.com/office/officeart/2005/8/layout/process3"/>
    <dgm:cxn modelId="{98B77682-B2D7-42D4-8D08-2B4A87BB8F7F}" type="presOf" srcId="{691077A2-64B3-4C54-B1BE-14D27238BBC7}" destId="{91EBEBC4-4D52-4AF5-A1D4-F98038401A43}" srcOrd="0" destOrd="4" presId="urn:microsoft.com/office/officeart/2005/8/layout/process3"/>
    <dgm:cxn modelId="{350C5E1B-6008-49D0-B14A-90473F2D9BC6}" srcId="{E2C3293C-11DD-4AA3-A15D-DEA1AED93D9C}" destId="{A7F26C67-4DF2-43CF-9E53-1BACB818F809}" srcOrd="0" destOrd="0" parTransId="{63DBECA0-4340-4E90-B067-C1CEF767D318}" sibTransId="{24B36A00-1C1F-4CFC-9E52-E26AC5655CBD}"/>
    <dgm:cxn modelId="{D7F03958-CE7D-4DC7-9E7C-6A9D158609B8}" srcId="{A7F26C67-4DF2-43CF-9E53-1BACB818F809}" destId="{DE0BFF43-3DF8-409E-B8A3-B0DB9994F745}" srcOrd="2" destOrd="0" parTransId="{F8F49DBB-29F2-479E-BC1F-4AD58FFFA499}" sibTransId="{B5932E48-BFF7-4AB3-86F0-179B1AF25421}"/>
    <dgm:cxn modelId="{BC79963B-AF91-4DDC-B608-B280AFEFAB54}" srcId="{E2C3293C-11DD-4AA3-A15D-DEA1AED93D9C}" destId="{E428B67C-381F-4444-9E45-1D4B5CEBCCBA}" srcOrd="2" destOrd="0" parTransId="{E56D3CB7-01FB-4DBC-9CFB-AE83EF55B149}" sibTransId="{C33A28C5-1B46-4E41-B488-0AFDEF82B556}"/>
    <dgm:cxn modelId="{FE24767C-5BA5-49CA-830F-B05BA4351AC3}" srcId="{E428B67C-381F-4444-9E45-1D4B5CEBCCBA}" destId="{BC6B5FD9-D732-4287-A9BB-A9490F550E96}" srcOrd="0" destOrd="0" parTransId="{6424CE3E-8032-4105-BA65-5FD4BB196AC5}" sibTransId="{8BD4F51E-5744-47D6-8332-6717684005F3}"/>
    <dgm:cxn modelId="{0F765B9F-83CD-4553-ADC4-A95A8CDC0912}" srcId="{A7F26C67-4DF2-43CF-9E53-1BACB818F809}" destId="{AEA5320D-6590-42DF-B793-38A1806D1BDC}" srcOrd="3" destOrd="0" parTransId="{226677BD-E3BF-4A8D-A51A-1C6F13ACF422}" sibTransId="{ED6D9448-448A-4C8B-91E6-9A79B0D43A9C}"/>
    <dgm:cxn modelId="{CCB07299-E2E1-4E1D-BC66-FC9203C0CEE7}" type="presOf" srcId="{24B36A00-1C1F-4CFC-9E52-E26AC5655CBD}" destId="{A060EEE1-88F8-4EEE-B3ED-8D215A7E6DA1}" srcOrd="1" destOrd="0" presId="urn:microsoft.com/office/officeart/2005/8/layout/process3"/>
    <dgm:cxn modelId="{D2ABFD21-57D4-4B23-9515-9A8547CD6BD8}" type="presOf" srcId="{95D9D0D7-6089-4A8C-B3DB-7CA86646B9C3}" destId="{87B3199C-8720-406A-A077-12D99FFA3B9B}" srcOrd="0" destOrd="0" presId="urn:microsoft.com/office/officeart/2005/8/layout/process3"/>
    <dgm:cxn modelId="{C389CCE9-4852-4373-B80E-57C61A66DF50}" type="presOf" srcId="{AEA5320D-6590-42DF-B793-38A1806D1BDC}" destId="{91EBEBC4-4D52-4AF5-A1D4-F98038401A43}" srcOrd="0" destOrd="3" presId="urn:microsoft.com/office/officeart/2005/8/layout/process3"/>
    <dgm:cxn modelId="{CBEE18A9-D6D1-40D9-AC51-0A69B346E0F9}" type="presOf" srcId="{C5326D47-54DB-435D-8ADC-38BAA47ED409}" destId="{91EBEBC4-4D52-4AF5-A1D4-F98038401A43}" srcOrd="0" destOrd="1" presId="urn:microsoft.com/office/officeart/2005/8/layout/process3"/>
    <dgm:cxn modelId="{76483182-5F40-4E13-90A0-621D98A21A37}" type="presOf" srcId="{3B484F7D-E76E-465C-86D2-43C55F426B5A}" destId="{87B3199C-8720-406A-A077-12D99FFA3B9B}" srcOrd="0" destOrd="1" presId="urn:microsoft.com/office/officeart/2005/8/layout/process3"/>
    <dgm:cxn modelId="{7277DD48-0656-4EE7-BA53-39E3CE4F28C2}" type="presOf" srcId="{24B36A00-1C1F-4CFC-9E52-E26AC5655CBD}" destId="{43FEE7C2-17E1-4615-B3A0-FA21BA4CCA9B}" srcOrd="0" destOrd="0" presId="urn:microsoft.com/office/officeart/2005/8/layout/process3"/>
    <dgm:cxn modelId="{636F25F3-70C2-41B5-9818-F677AFBC29F4}" type="presOf" srcId="{CF0864F5-66DC-4F22-A433-7950D2309C5B}" destId="{CED39629-D2CF-488C-919D-9E5F6AB55015}" srcOrd="1" destOrd="0" presId="urn:microsoft.com/office/officeart/2005/8/layout/process3"/>
    <dgm:cxn modelId="{0601DA3A-1E49-4085-977A-5B56E72EFB6B}" type="presOf" srcId="{CF0864F5-66DC-4F22-A433-7950D2309C5B}" destId="{128E1483-4D07-4ED6-AF4F-FB7F68DF098E}" srcOrd="0" destOrd="0" presId="urn:microsoft.com/office/officeart/2005/8/layout/process3"/>
    <dgm:cxn modelId="{D3AB1FB0-393B-4AE8-BAB7-C070D6ECB234}" type="presOf" srcId="{C6A287CD-DC98-405E-9EBA-49C54B7F8B0C}" destId="{87B3199C-8720-406A-A077-12D99FFA3B9B}" srcOrd="0" destOrd="2" presId="urn:microsoft.com/office/officeart/2005/8/layout/process3"/>
    <dgm:cxn modelId="{15AA5DFE-A37C-4F69-BEDA-F903E87A9ED5}" type="presOf" srcId="{3D813B93-D85F-4956-9434-DA31300975B7}" destId="{4FAE5204-47E4-47A0-A1B3-A327B6CA18CE}" srcOrd="0" destOrd="0" presId="urn:microsoft.com/office/officeart/2005/8/layout/process3"/>
    <dgm:cxn modelId="{6EB1EE0B-17A9-4387-BDE8-B0EA6C9BA710}" type="presOf" srcId="{E428B67C-381F-4444-9E45-1D4B5CEBCCBA}" destId="{F8B6E5DA-D3DE-4B20-B16A-A5E928796CBC}" srcOrd="0" destOrd="0" presId="urn:microsoft.com/office/officeart/2005/8/layout/process3"/>
    <dgm:cxn modelId="{2F099CBE-D7D4-4611-99F4-68EF915043A0}" srcId="{3D813B93-D85F-4956-9434-DA31300975B7}" destId="{C6A287CD-DC98-405E-9EBA-49C54B7F8B0C}" srcOrd="2" destOrd="0" parTransId="{7350EF2F-2888-4C62-9320-886EF93DAEDC}" sibTransId="{6075E3CC-E288-40A3-A538-0D5E6D10F5AF}"/>
    <dgm:cxn modelId="{4285253D-2BE4-48C9-A33A-83E7CFF7163D}" type="presOf" srcId="{E428B67C-381F-4444-9E45-1D4B5CEBCCBA}" destId="{7DFADBDA-C227-4F92-B6EF-8F395909EE91}" srcOrd="1" destOrd="0" presId="urn:microsoft.com/office/officeart/2005/8/layout/process3"/>
    <dgm:cxn modelId="{8A0C4276-974B-4700-81A8-977309ED4FB9}" type="presOf" srcId="{3D813B93-D85F-4956-9434-DA31300975B7}" destId="{45EE4308-F085-457D-B399-C8DA01B149A8}" srcOrd="1" destOrd="0" presId="urn:microsoft.com/office/officeart/2005/8/layout/process3"/>
    <dgm:cxn modelId="{5B0D431C-95E0-4180-B03D-1025EA208BAC}" type="presOf" srcId="{E2C3293C-11DD-4AA3-A15D-DEA1AED93D9C}" destId="{B70CF02B-A6A5-47C1-847D-689CEE7C2E40}" srcOrd="0" destOrd="0" presId="urn:microsoft.com/office/officeart/2005/8/layout/process3"/>
    <dgm:cxn modelId="{226F4060-AC48-432B-AE74-87B42AEFE0CB}" srcId="{E2C3293C-11DD-4AA3-A15D-DEA1AED93D9C}" destId="{3D813B93-D85F-4956-9434-DA31300975B7}" srcOrd="1" destOrd="0" parTransId="{17382DA2-31CE-4AC2-91E2-F067EBED7BA1}" sibTransId="{CF0864F5-66DC-4F22-A433-7950D2309C5B}"/>
    <dgm:cxn modelId="{B23887F7-18CD-4210-A8B3-FCCA21962FEE}" srcId="{A7F26C67-4DF2-43CF-9E53-1BACB818F809}" destId="{C5326D47-54DB-435D-8ADC-38BAA47ED409}" srcOrd="1" destOrd="0" parTransId="{DF5A2D07-DC5E-4C84-8210-5674BC4449E1}" sibTransId="{B27CA57B-EEA8-4DFF-AE40-B553F34203F7}"/>
    <dgm:cxn modelId="{7B8CA96D-70F6-4B3D-A38E-19FF33E8810A}" srcId="{A7F26C67-4DF2-43CF-9E53-1BACB818F809}" destId="{A3677715-1FBA-403C-8A09-BF795E57EBA3}" srcOrd="0" destOrd="0" parTransId="{6F2F105A-E3C6-4237-BAEF-21240E17DBFA}" sibTransId="{BA32F182-AA43-4A31-87FC-0E7DDC6B3943}"/>
    <dgm:cxn modelId="{66E679B9-6742-43B1-B5F9-BFDB83BBAA9E}" type="presParOf" srcId="{B70CF02B-A6A5-47C1-847D-689CEE7C2E40}" destId="{A94EE052-77D7-4D06-A96D-51CDF0F93C31}" srcOrd="0" destOrd="0" presId="urn:microsoft.com/office/officeart/2005/8/layout/process3"/>
    <dgm:cxn modelId="{4D42D688-766D-42D9-B793-8142C26FC01A}" type="presParOf" srcId="{A94EE052-77D7-4D06-A96D-51CDF0F93C31}" destId="{6B7D9E89-4309-4CFF-8E5C-86EDD96E98C6}" srcOrd="0" destOrd="0" presId="urn:microsoft.com/office/officeart/2005/8/layout/process3"/>
    <dgm:cxn modelId="{D02BD044-5349-4745-B3E5-7D168478DEBD}" type="presParOf" srcId="{A94EE052-77D7-4D06-A96D-51CDF0F93C31}" destId="{5217AD57-932A-437F-B6ED-04B27E2CE852}" srcOrd="1" destOrd="0" presId="urn:microsoft.com/office/officeart/2005/8/layout/process3"/>
    <dgm:cxn modelId="{8ED621B5-3018-414E-8FA0-60F8FD6DC6BB}" type="presParOf" srcId="{A94EE052-77D7-4D06-A96D-51CDF0F93C31}" destId="{91EBEBC4-4D52-4AF5-A1D4-F98038401A43}" srcOrd="2" destOrd="0" presId="urn:microsoft.com/office/officeart/2005/8/layout/process3"/>
    <dgm:cxn modelId="{9B9BA78C-AC9A-41BA-8787-7D3165F0815B}" type="presParOf" srcId="{B70CF02B-A6A5-47C1-847D-689CEE7C2E40}" destId="{43FEE7C2-17E1-4615-B3A0-FA21BA4CCA9B}" srcOrd="1" destOrd="0" presId="urn:microsoft.com/office/officeart/2005/8/layout/process3"/>
    <dgm:cxn modelId="{D90D6B96-1D02-4893-A507-44B338BE59B0}" type="presParOf" srcId="{43FEE7C2-17E1-4615-B3A0-FA21BA4CCA9B}" destId="{A060EEE1-88F8-4EEE-B3ED-8D215A7E6DA1}" srcOrd="0" destOrd="0" presId="urn:microsoft.com/office/officeart/2005/8/layout/process3"/>
    <dgm:cxn modelId="{979E49F8-6F65-429D-B6C7-C681F162C795}" type="presParOf" srcId="{B70CF02B-A6A5-47C1-847D-689CEE7C2E40}" destId="{FDF89DE8-CA8A-4000-9CCA-1C07149002AC}" srcOrd="2" destOrd="0" presId="urn:microsoft.com/office/officeart/2005/8/layout/process3"/>
    <dgm:cxn modelId="{6B2091F1-39F2-4246-81E4-DF311CE34231}" type="presParOf" srcId="{FDF89DE8-CA8A-4000-9CCA-1C07149002AC}" destId="{4FAE5204-47E4-47A0-A1B3-A327B6CA18CE}" srcOrd="0" destOrd="0" presId="urn:microsoft.com/office/officeart/2005/8/layout/process3"/>
    <dgm:cxn modelId="{F9F4B7F7-067F-4FD0-84DA-5580B6368345}" type="presParOf" srcId="{FDF89DE8-CA8A-4000-9CCA-1C07149002AC}" destId="{45EE4308-F085-457D-B399-C8DA01B149A8}" srcOrd="1" destOrd="0" presId="urn:microsoft.com/office/officeart/2005/8/layout/process3"/>
    <dgm:cxn modelId="{ECBCA038-3610-4461-B05F-6A48F8917F8C}" type="presParOf" srcId="{FDF89DE8-CA8A-4000-9CCA-1C07149002AC}" destId="{87B3199C-8720-406A-A077-12D99FFA3B9B}" srcOrd="2" destOrd="0" presId="urn:microsoft.com/office/officeart/2005/8/layout/process3"/>
    <dgm:cxn modelId="{78DAC4EA-E005-489D-8C45-688BEC95F5DB}" type="presParOf" srcId="{B70CF02B-A6A5-47C1-847D-689CEE7C2E40}" destId="{128E1483-4D07-4ED6-AF4F-FB7F68DF098E}" srcOrd="3" destOrd="0" presId="urn:microsoft.com/office/officeart/2005/8/layout/process3"/>
    <dgm:cxn modelId="{7FF0DBD1-77D9-4A6A-9103-58EBB3CB42C2}" type="presParOf" srcId="{128E1483-4D07-4ED6-AF4F-FB7F68DF098E}" destId="{CED39629-D2CF-488C-919D-9E5F6AB55015}" srcOrd="0" destOrd="0" presId="urn:microsoft.com/office/officeart/2005/8/layout/process3"/>
    <dgm:cxn modelId="{61B10E18-5E39-489E-8BDC-5EA402297BF3}" type="presParOf" srcId="{B70CF02B-A6A5-47C1-847D-689CEE7C2E40}" destId="{00BC5366-3A9C-4405-8EA5-06AEE11F53C2}" srcOrd="4" destOrd="0" presId="urn:microsoft.com/office/officeart/2005/8/layout/process3"/>
    <dgm:cxn modelId="{EF63DB05-EFFD-480D-8548-4F46E45539FE}" type="presParOf" srcId="{00BC5366-3A9C-4405-8EA5-06AEE11F53C2}" destId="{F8B6E5DA-D3DE-4B20-B16A-A5E928796CBC}" srcOrd="0" destOrd="0" presId="urn:microsoft.com/office/officeart/2005/8/layout/process3"/>
    <dgm:cxn modelId="{8495AA12-AD0A-40AD-8286-229E4E4DE69B}" type="presParOf" srcId="{00BC5366-3A9C-4405-8EA5-06AEE11F53C2}" destId="{7DFADBDA-C227-4F92-B6EF-8F395909EE91}" srcOrd="1" destOrd="0" presId="urn:microsoft.com/office/officeart/2005/8/layout/process3"/>
    <dgm:cxn modelId="{C32A7E00-9CBA-4444-82FB-AF31455CCD66}" type="presParOf" srcId="{00BC5366-3A9C-4405-8EA5-06AEE11F53C2}" destId="{B9BAA922-0DFD-4302-97B4-BE2BBD2C76B8}"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7AD57-932A-437F-B6ED-04B27E2CE852}">
      <dsp:nvSpPr>
        <dsp:cNvPr id="0" name=""/>
        <dsp:cNvSpPr/>
      </dsp:nvSpPr>
      <dsp:spPr>
        <a:xfrm>
          <a:off x="2967" y="265129"/>
          <a:ext cx="1349366" cy="700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pl-PL" sz="1200" kern="1200"/>
            <a:t>Parametry początkowe</a:t>
          </a:r>
        </a:p>
      </dsp:txBody>
      <dsp:txXfrm>
        <a:off x="2967" y="265129"/>
        <a:ext cx="1349366" cy="466941"/>
      </dsp:txXfrm>
    </dsp:sp>
    <dsp:sp modelId="{91EBEBC4-4D52-4AF5-A1D4-F98038401A43}">
      <dsp:nvSpPr>
        <dsp:cNvPr id="0" name=""/>
        <dsp:cNvSpPr/>
      </dsp:nvSpPr>
      <dsp:spPr>
        <a:xfrm>
          <a:off x="279343" y="732070"/>
          <a:ext cx="1349366" cy="2203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pl-PL" sz="1200" b="0" i="0" u="none" kern="1200"/>
            <a:t>Liczba użytkowników</a:t>
          </a:r>
          <a:endParaRPr lang="pl-PL" sz="1200" kern="1200"/>
        </a:p>
        <a:p>
          <a:pPr marL="114300" lvl="1" indent="-114300" algn="l" defTabSz="533400">
            <a:lnSpc>
              <a:spcPct val="90000"/>
            </a:lnSpc>
            <a:spcBef>
              <a:spcPct val="0"/>
            </a:spcBef>
            <a:spcAft>
              <a:spcPct val="15000"/>
            </a:spcAft>
            <a:buChar char="••"/>
          </a:pPr>
          <a:r>
            <a:rPr lang="pl-PL" sz="1200" b="0" i="0" u="none" kern="1200"/>
            <a:t>Liczba operacji biznesowych</a:t>
          </a:r>
          <a:endParaRPr lang="pl-PL" sz="1200" kern="1200"/>
        </a:p>
        <a:p>
          <a:pPr marL="114300" lvl="1" indent="-114300" algn="l" defTabSz="533400">
            <a:lnSpc>
              <a:spcPct val="90000"/>
            </a:lnSpc>
            <a:spcBef>
              <a:spcPct val="0"/>
            </a:spcBef>
            <a:spcAft>
              <a:spcPct val="15000"/>
            </a:spcAft>
            <a:buChar char="••"/>
          </a:pPr>
          <a:r>
            <a:rPr lang="pl-PL" sz="1200" kern="1200"/>
            <a:t>Wolumen danych</a:t>
          </a:r>
        </a:p>
        <a:p>
          <a:pPr marL="114300" lvl="1" indent="-114300" algn="l" defTabSz="533400">
            <a:lnSpc>
              <a:spcPct val="90000"/>
            </a:lnSpc>
            <a:spcBef>
              <a:spcPct val="0"/>
            </a:spcBef>
            <a:spcAft>
              <a:spcPct val="15000"/>
            </a:spcAft>
            <a:buChar char="••"/>
          </a:pPr>
          <a:r>
            <a:rPr lang="pl-PL" sz="1200" b="0" i="0" u="none" kern="1200"/>
            <a:t>Statystyki roczne</a:t>
          </a:r>
          <a:endParaRPr lang="pl-PL" sz="1200" kern="1200"/>
        </a:p>
        <a:p>
          <a:pPr marL="114300" lvl="1" indent="-114300" algn="l" defTabSz="533400">
            <a:lnSpc>
              <a:spcPct val="90000"/>
            </a:lnSpc>
            <a:spcBef>
              <a:spcPct val="0"/>
            </a:spcBef>
            <a:spcAft>
              <a:spcPct val="15000"/>
            </a:spcAft>
            <a:buChar char="••"/>
          </a:pPr>
          <a:r>
            <a:rPr lang="pl-PL" sz="1200" kern="1200"/>
            <a:t>Określenie scenariuszy</a:t>
          </a:r>
        </a:p>
      </dsp:txBody>
      <dsp:txXfrm>
        <a:off x="318865" y="771592"/>
        <a:ext cx="1270322" cy="2124156"/>
      </dsp:txXfrm>
    </dsp:sp>
    <dsp:sp modelId="{43FEE7C2-17E1-4615-B3A0-FA21BA4CCA9B}">
      <dsp:nvSpPr>
        <dsp:cNvPr id="0" name=""/>
        <dsp:cNvSpPr/>
      </dsp:nvSpPr>
      <dsp:spPr>
        <a:xfrm>
          <a:off x="1556893" y="330623"/>
          <a:ext cx="433665" cy="3359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l-PL" sz="1000" kern="1200"/>
        </a:p>
      </dsp:txBody>
      <dsp:txXfrm>
        <a:off x="1556893" y="397814"/>
        <a:ext cx="332879" cy="201571"/>
      </dsp:txXfrm>
    </dsp:sp>
    <dsp:sp modelId="{45EE4308-F085-457D-B399-C8DA01B149A8}">
      <dsp:nvSpPr>
        <dsp:cNvPr id="0" name=""/>
        <dsp:cNvSpPr/>
      </dsp:nvSpPr>
      <dsp:spPr>
        <a:xfrm>
          <a:off x="2170570" y="265129"/>
          <a:ext cx="1349366" cy="700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pl-PL" sz="1200" kern="1200"/>
            <a:t>Szacowanie</a:t>
          </a:r>
        </a:p>
      </dsp:txBody>
      <dsp:txXfrm>
        <a:off x="2170570" y="265129"/>
        <a:ext cx="1349366" cy="466941"/>
      </dsp:txXfrm>
    </dsp:sp>
    <dsp:sp modelId="{87B3199C-8720-406A-A077-12D99FFA3B9B}">
      <dsp:nvSpPr>
        <dsp:cNvPr id="0" name=""/>
        <dsp:cNvSpPr/>
      </dsp:nvSpPr>
      <dsp:spPr>
        <a:xfrm>
          <a:off x="2446946" y="732070"/>
          <a:ext cx="1349366" cy="2203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pl-PL" sz="1200" kern="1200"/>
            <a:t>Ustalenie współczynnika wykorzystania scenariuszy</a:t>
          </a:r>
        </a:p>
        <a:p>
          <a:pPr marL="114300" lvl="1" indent="-114300" algn="l" defTabSz="533400">
            <a:lnSpc>
              <a:spcPct val="90000"/>
            </a:lnSpc>
            <a:spcBef>
              <a:spcPct val="0"/>
            </a:spcBef>
            <a:spcAft>
              <a:spcPct val="15000"/>
            </a:spcAft>
            <a:buChar char="••"/>
          </a:pPr>
          <a:r>
            <a:rPr lang="pl-PL" sz="1200" kern="1200"/>
            <a:t>Określenie złożoności scenariuszy</a:t>
          </a:r>
        </a:p>
        <a:p>
          <a:pPr marL="114300" lvl="1" indent="-114300" algn="l" defTabSz="533400">
            <a:lnSpc>
              <a:spcPct val="90000"/>
            </a:lnSpc>
            <a:spcBef>
              <a:spcPct val="0"/>
            </a:spcBef>
            <a:spcAft>
              <a:spcPct val="15000"/>
            </a:spcAft>
            <a:buChar char="••"/>
          </a:pPr>
          <a:r>
            <a:rPr lang="pl-PL" sz="1200" kern="1200"/>
            <a:t>Ustalenie częstości wykorzystania scenariuszy</a:t>
          </a:r>
        </a:p>
      </dsp:txBody>
      <dsp:txXfrm>
        <a:off x="2486468" y="771592"/>
        <a:ext cx="1270322" cy="2124156"/>
      </dsp:txXfrm>
    </dsp:sp>
    <dsp:sp modelId="{128E1483-4D07-4ED6-AF4F-FB7F68DF098E}">
      <dsp:nvSpPr>
        <dsp:cNvPr id="0" name=""/>
        <dsp:cNvSpPr/>
      </dsp:nvSpPr>
      <dsp:spPr>
        <a:xfrm>
          <a:off x="3724495" y="330623"/>
          <a:ext cx="433665" cy="3359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l-PL" sz="1000" kern="1200"/>
        </a:p>
      </dsp:txBody>
      <dsp:txXfrm>
        <a:off x="3724495" y="397814"/>
        <a:ext cx="332879" cy="201571"/>
      </dsp:txXfrm>
    </dsp:sp>
    <dsp:sp modelId="{7DFADBDA-C227-4F92-B6EF-8F395909EE91}">
      <dsp:nvSpPr>
        <dsp:cNvPr id="0" name=""/>
        <dsp:cNvSpPr/>
      </dsp:nvSpPr>
      <dsp:spPr>
        <a:xfrm>
          <a:off x="4338172" y="265129"/>
          <a:ext cx="1349366" cy="700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pl-PL" sz="1200" kern="1200"/>
            <a:t>Interpretacja wyników</a:t>
          </a:r>
        </a:p>
      </dsp:txBody>
      <dsp:txXfrm>
        <a:off x="4338172" y="265129"/>
        <a:ext cx="1349366" cy="466941"/>
      </dsp:txXfrm>
    </dsp:sp>
    <dsp:sp modelId="{B9BAA922-0DFD-4302-97B4-BE2BBD2C76B8}">
      <dsp:nvSpPr>
        <dsp:cNvPr id="0" name=""/>
        <dsp:cNvSpPr/>
      </dsp:nvSpPr>
      <dsp:spPr>
        <a:xfrm>
          <a:off x="4614548" y="732070"/>
          <a:ext cx="1349366" cy="2203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pl-PL" sz="1200" kern="1200"/>
            <a:t>Określenie zmian w infrastrukturze</a:t>
          </a:r>
        </a:p>
      </dsp:txBody>
      <dsp:txXfrm>
        <a:off x="4654070" y="771592"/>
        <a:ext cx="1270322" cy="21241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8521</Characters>
  <Application>Microsoft Office Word</Application>
  <DocSecurity>0</DocSecurity>
  <Lines>71</Lines>
  <Paragraphs>19</Paragraphs>
  <ScaleCrop>false</ScaleCrop>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2015-04-29T06:59:00Z</dcterms:created>
  <dcterms:modified xsi:type="dcterms:W3CDTF">2015-05-07T15:03:00Z</dcterms:modified>
</cp:coreProperties>
</file>