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B48" w:rsidRPr="00375EAE" w:rsidRDefault="00510B48" w:rsidP="00510B48">
      <w:pPr>
        <w:spacing w:line="360" w:lineRule="auto"/>
        <w:jc w:val="right"/>
        <w:rPr>
          <w:sz w:val="28"/>
          <w:szCs w:val="28"/>
        </w:rPr>
      </w:pPr>
      <w:r>
        <w:rPr>
          <w:b/>
          <w:sz w:val="24"/>
          <w:szCs w:val="24"/>
        </w:rPr>
        <w:t>Zał. Nr 1</w:t>
      </w:r>
      <w:r w:rsidR="00C97CF7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 xml:space="preserve"> do zaproszenia</w:t>
      </w:r>
    </w:p>
    <w:p w:rsidR="00510B48" w:rsidRPr="00B035A6" w:rsidRDefault="00510B48" w:rsidP="00510B48">
      <w:pPr>
        <w:spacing w:line="360" w:lineRule="auto"/>
        <w:ind w:left="5356" w:hanging="535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FORMULARZ </w:t>
      </w:r>
      <w:r w:rsidRPr="00B035A6">
        <w:rPr>
          <w:b/>
          <w:sz w:val="48"/>
          <w:szCs w:val="48"/>
        </w:rPr>
        <w:t>OFERT</w:t>
      </w:r>
      <w:r>
        <w:rPr>
          <w:b/>
          <w:sz w:val="48"/>
          <w:szCs w:val="48"/>
        </w:rPr>
        <w:t>OWY</w:t>
      </w:r>
    </w:p>
    <w:p w:rsidR="00510B48" w:rsidRDefault="00510B48" w:rsidP="00510B48">
      <w:pPr>
        <w:shd w:val="clear" w:color="auto" w:fill="FFFFFF"/>
        <w:spacing w:before="106" w:line="360" w:lineRule="auto"/>
        <w:jc w:val="center"/>
        <w:rPr>
          <w:sz w:val="24"/>
          <w:szCs w:val="24"/>
        </w:rPr>
      </w:pPr>
    </w:p>
    <w:p w:rsidR="00510B48" w:rsidRDefault="0031742E" w:rsidP="00510B48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1371600" cy="228600"/>
                <wp:effectExtent l="0" t="0" r="0" b="0"/>
                <wp:docPr id="2" name="Kanw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5CB38C53" id="Kanwa 2" o:spid="_x0000_s1026" editas="canvas" style="width:108pt;height:18pt;mso-position-horizontal-relative:char;mso-position-vertical-relative:line" coordsize="1371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Zx0TLdsAAAAE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716;height:228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510B48" w:rsidRPr="00E805E5" w:rsidRDefault="00510B48" w:rsidP="00E805E5">
      <w:pPr>
        <w:jc w:val="center"/>
        <w:rPr>
          <w:sz w:val="24"/>
          <w:szCs w:val="24"/>
        </w:rPr>
      </w:pPr>
      <w:r w:rsidRPr="00AD6CAC">
        <w:rPr>
          <w:sz w:val="22"/>
          <w:szCs w:val="22"/>
        </w:rPr>
        <w:t>Dotyczy postępowania Nr GI-GSOP.2611.</w:t>
      </w:r>
      <w:r w:rsidR="00545F61">
        <w:rPr>
          <w:sz w:val="22"/>
          <w:szCs w:val="22"/>
        </w:rPr>
        <w:t>6</w:t>
      </w:r>
      <w:r w:rsidRPr="00AD6CAC">
        <w:rPr>
          <w:sz w:val="22"/>
          <w:szCs w:val="22"/>
        </w:rPr>
        <w:t>.20</w:t>
      </w:r>
      <w:r w:rsidR="00723DF8">
        <w:rPr>
          <w:sz w:val="22"/>
          <w:szCs w:val="22"/>
        </w:rPr>
        <w:t>20</w:t>
      </w:r>
      <w:r w:rsidRPr="00AD6CAC">
        <w:rPr>
          <w:sz w:val="22"/>
          <w:szCs w:val="22"/>
        </w:rPr>
        <w:t xml:space="preserve">,  </w:t>
      </w:r>
      <w:r w:rsidR="0031742E">
        <w:rPr>
          <w:sz w:val="22"/>
          <w:szCs w:val="22"/>
        </w:rPr>
        <w:br/>
      </w:r>
      <w:r w:rsidR="0031742E" w:rsidRPr="00E805E5">
        <w:rPr>
          <w:b/>
          <w:sz w:val="22"/>
          <w:szCs w:val="22"/>
        </w:rPr>
        <w:t xml:space="preserve">„Zakup </w:t>
      </w:r>
      <w:r w:rsidR="00545F61">
        <w:rPr>
          <w:b/>
          <w:sz w:val="22"/>
          <w:szCs w:val="22"/>
        </w:rPr>
        <w:t>urządzeń sieciowych</w:t>
      </w:r>
      <w:r w:rsidR="0031742E" w:rsidRPr="00E805E5">
        <w:rPr>
          <w:b/>
          <w:sz w:val="22"/>
          <w:szCs w:val="22"/>
        </w:rPr>
        <w:t xml:space="preserve"> na potrzeby utrzymania </w:t>
      </w:r>
      <w:r w:rsidR="00723DF8">
        <w:rPr>
          <w:b/>
          <w:sz w:val="22"/>
          <w:szCs w:val="22"/>
        </w:rPr>
        <w:t>systemu ASG-EUPOS</w:t>
      </w:r>
      <w:r w:rsidR="0031742E" w:rsidRPr="00E805E5">
        <w:rPr>
          <w:b/>
          <w:sz w:val="22"/>
          <w:szCs w:val="22"/>
        </w:rPr>
        <w:t>.</w:t>
      </w:r>
      <w:r w:rsidR="0031742E" w:rsidRPr="00E805E5">
        <w:rPr>
          <w:b/>
          <w:sz w:val="24"/>
          <w:szCs w:val="24"/>
        </w:rPr>
        <w:t>”</w:t>
      </w:r>
    </w:p>
    <w:p w:rsidR="00510B48" w:rsidRPr="007A1C83" w:rsidRDefault="00510B48" w:rsidP="00510B48">
      <w:pPr>
        <w:jc w:val="center"/>
      </w:pPr>
      <w:r w:rsidRPr="007A1C83">
        <w:rPr>
          <w:b/>
        </w:rPr>
        <w:t>(</w:t>
      </w:r>
      <w:r>
        <w:rPr>
          <w:i/>
        </w:rPr>
        <w:t xml:space="preserve">nazwa przedmiotu </w:t>
      </w:r>
      <w:r w:rsidRPr="007A1C83">
        <w:rPr>
          <w:i/>
        </w:rPr>
        <w:t xml:space="preserve"> zamówienia)</w:t>
      </w:r>
    </w:p>
    <w:p w:rsidR="00510B48" w:rsidRDefault="00510B48" w:rsidP="00510B48">
      <w:pPr>
        <w:spacing w:line="360" w:lineRule="auto"/>
        <w:rPr>
          <w:b/>
          <w:sz w:val="22"/>
          <w:szCs w:val="22"/>
        </w:rPr>
      </w:pPr>
    </w:p>
    <w:p w:rsidR="00510B48" w:rsidRPr="006E685B" w:rsidRDefault="00510B48" w:rsidP="00510B4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Nazwa i adres W</w:t>
      </w:r>
      <w:r w:rsidRPr="006E685B">
        <w:rPr>
          <w:b/>
          <w:sz w:val="22"/>
          <w:szCs w:val="22"/>
        </w:rPr>
        <w:t>ykonawcy</w:t>
      </w:r>
      <w:r>
        <w:rPr>
          <w:b/>
          <w:sz w:val="22"/>
          <w:szCs w:val="22"/>
        </w:rPr>
        <w:t>:………………………………………………………………………......</w:t>
      </w:r>
    </w:p>
    <w:p w:rsidR="00510B48" w:rsidRPr="006E685B" w:rsidRDefault="00510B48" w:rsidP="00510B48">
      <w:pPr>
        <w:spacing w:line="360" w:lineRule="auto"/>
        <w:rPr>
          <w:b/>
          <w:sz w:val="22"/>
          <w:szCs w:val="22"/>
        </w:rPr>
      </w:pPr>
      <w:r w:rsidRPr="006E685B">
        <w:rPr>
          <w:b/>
          <w:sz w:val="22"/>
          <w:szCs w:val="22"/>
        </w:rPr>
        <w:t>..........................................................</w:t>
      </w:r>
      <w:r>
        <w:rPr>
          <w:b/>
          <w:sz w:val="22"/>
          <w:szCs w:val="22"/>
        </w:rPr>
        <w:t>................................................................</w:t>
      </w:r>
      <w:r w:rsidR="001D0987">
        <w:rPr>
          <w:b/>
          <w:sz w:val="22"/>
          <w:szCs w:val="22"/>
        </w:rPr>
        <w:t>...............................</w:t>
      </w:r>
      <w:bookmarkStart w:id="0" w:name="_GoBack"/>
      <w:bookmarkEnd w:id="0"/>
      <w:r>
        <w:rPr>
          <w:b/>
          <w:sz w:val="22"/>
          <w:szCs w:val="22"/>
        </w:rPr>
        <w:t>........</w:t>
      </w:r>
    </w:p>
    <w:p w:rsidR="00510B48" w:rsidRPr="006E685B" w:rsidRDefault="00510B48" w:rsidP="00510B48">
      <w:pPr>
        <w:spacing w:line="360" w:lineRule="auto"/>
        <w:jc w:val="both"/>
        <w:rPr>
          <w:b/>
          <w:sz w:val="22"/>
          <w:szCs w:val="22"/>
        </w:rPr>
      </w:pPr>
    </w:p>
    <w:p w:rsidR="00510B48" w:rsidRDefault="00510B48" w:rsidP="00510B48">
      <w:pPr>
        <w:widowControl/>
        <w:numPr>
          <w:ilvl w:val="1"/>
          <w:numId w:val="2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>Oferujemy</w:t>
      </w:r>
      <w:r>
        <w:rPr>
          <w:sz w:val="22"/>
          <w:szCs w:val="22"/>
        </w:rPr>
        <w:t xml:space="preserve"> wykonanie </w:t>
      </w:r>
      <w:r w:rsidRPr="006E685B">
        <w:rPr>
          <w:sz w:val="22"/>
          <w:szCs w:val="22"/>
        </w:rPr>
        <w:t>przedmiot</w:t>
      </w:r>
      <w:r>
        <w:rPr>
          <w:sz w:val="22"/>
          <w:szCs w:val="22"/>
        </w:rPr>
        <w:t>u</w:t>
      </w:r>
      <w:r w:rsidRPr="006E685B">
        <w:rPr>
          <w:sz w:val="22"/>
          <w:szCs w:val="22"/>
        </w:rPr>
        <w:t xml:space="preserve"> zamówienia zgodnie z</w:t>
      </w:r>
      <w:r>
        <w:rPr>
          <w:sz w:val="22"/>
          <w:szCs w:val="22"/>
        </w:rPr>
        <w:t xml:space="preserve"> zaproszeniem za:</w:t>
      </w:r>
    </w:p>
    <w:p w:rsidR="006D025E" w:rsidRPr="006D025E" w:rsidRDefault="006D025E" w:rsidP="006D025E">
      <w:pPr>
        <w:widowControl/>
        <w:autoSpaceDE/>
        <w:autoSpaceDN/>
        <w:adjustRightInd/>
        <w:spacing w:line="360" w:lineRule="auto"/>
        <w:ind w:left="360"/>
        <w:jc w:val="both"/>
        <w:rPr>
          <w:b/>
          <w:sz w:val="22"/>
          <w:szCs w:val="22"/>
          <w:u w:val="single"/>
        </w:rPr>
      </w:pPr>
      <w:r w:rsidRPr="006D025E">
        <w:rPr>
          <w:b/>
          <w:sz w:val="22"/>
          <w:szCs w:val="22"/>
          <w:u w:val="single"/>
        </w:rPr>
        <w:t xml:space="preserve">Część </w:t>
      </w:r>
      <w:r w:rsidR="00C97CF7">
        <w:rPr>
          <w:b/>
          <w:sz w:val="22"/>
          <w:szCs w:val="22"/>
          <w:u w:val="single"/>
        </w:rPr>
        <w:t>2</w:t>
      </w:r>
      <w:r w:rsidRPr="006D025E">
        <w:rPr>
          <w:b/>
          <w:sz w:val="22"/>
          <w:szCs w:val="22"/>
          <w:u w:val="single"/>
        </w:rPr>
        <w:t xml:space="preserve"> –</w:t>
      </w:r>
      <w:r w:rsidR="00C97CF7">
        <w:rPr>
          <w:b/>
          <w:sz w:val="22"/>
          <w:szCs w:val="22"/>
          <w:u w:val="single"/>
        </w:rPr>
        <w:t xml:space="preserve"> </w:t>
      </w:r>
      <w:r w:rsidR="00545F61">
        <w:rPr>
          <w:b/>
          <w:sz w:val="22"/>
          <w:szCs w:val="22"/>
          <w:u w:val="single"/>
        </w:rPr>
        <w:t>urządzenie do analizowania bezpieczeństwa sieci</w:t>
      </w:r>
      <w:r w:rsidRPr="006D025E">
        <w:rPr>
          <w:b/>
          <w:sz w:val="22"/>
          <w:szCs w:val="22"/>
          <w:u w:val="single"/>
        </w:rPr>
        <w:t xml:space="preserve"> </w:t>
      </w:r>
      <w:r w:rsidR="00C97CF7">
        <w:rPr>
          <w:b/>
          <w:sz w:val="22"/>
          <w:szCs w:val="22"/>
          <w:u w:val="single"/>
        </w:rPr>
        <w:t xml:space="preserve"> </w:t>
      </w:r>
      <w:r w:rsidR="00884D96">
        <w:rPr>
          <w:b/>
          <w:sz w:val="22"/>
          <w:szCs w:val="22"/>
          <w:u w:val="single"/>
        </w:rPr>
        <w:t xml:space="preserve"> </w:t>
      </w:r>
    </w:p>
    <w:p w:rsidR="00510B48" w:rsidRPr="006E685B" w:rsidRDefault="00510B48" w:rsidP="00510B48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 xml:space="preserve">cenę netto: </w:t>
      </w:r>
      <w:r w:rsidRPr="006E685B">
        <w:rPr>
          <w:sz w:val="22"/>
          <w:szCs w:val="22"/>
        </w:rPr>
        <w:t>……………</w:t>
      </w:r>
      <w:r>
        <w:rPr>
          <w:sz w:val="22"/>
          <w:szCs w:val="22"/>
        </w:rPr>
        <w:t>......</w:t>
      </w:r>
      <w:r w:rsidRPr="006E685B">
        <w:rPr>
          <w:sz w:val="22"/>
          <w:szCs w:val="22"/>
        </w:rPr>
        <w:t>zł, (słownie: ……..………..……...…........................ złotych)</w:t>
      </w:r>
    </w:p>
    <w:p w:rsidR="00510B48" w:rsidRPr="006E685B" w:rsidRDefault="00510B48" w:rsidP="00510B48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>podatek VAT:</w:t>
      </w:r>
      <w:r>
        <w:rPr>
          <w:sz w:val="22"/>
          <w:szCs w:val="22"/>
        </w:rPr>
        <w:t xml:space="preserve"> ...................</w:t>
      </w:r>
      <w:r w:rsidRPr="006E685B">
        <w:rPr>
          <w:sz w:val="22"/>
          <w:szCs w:val="22"/>
        </w:rPr>
        <w:t>zł, (słownie: ................................................................ złotych)</w:t>
      </w:r>
    </w:p>
    <w:p w:rsidR="00510B48" w:rsidRPr="006E685B" w:rsidRDefault="00510B48" w:rsidP="00510B48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 xml:space="preserve">za cenę brutto: </w:t>
      </w:r>
      <w:r>
        <w:rPr>
          <w:sz w:val="22"/>
          <w:szCs w:val="22"/>
        </w:rPr>
        <w:t xml:space="preserve">………..  </w:t>
      </w:r>
      <w:r w:rsidRPr="006E685B">
        <w:rPr>
          <w:sz w:val="22"/>
          <w:szCs w:val="22"/>
        </w:rPr>
        <w:t xml:space="preserve"> zł, (słownie: ................................................................ złotych).</w:t>
      </w:r>
    </w:p>
    <w:p w:rsidR="00510B48" w:rsidRPr="006E685B" w:rsidRDefault="00510B48" w:rsidP="00510B48">
      <w:pPr>
        <w:spacing w:line="360" w:lineRule="auto"/>
        <w:jc w:val="both"/>
        <w:rPr>
          <w:sz w:val="22"/>
          <w:szCs w:val="22"/>
        </w:rPr>
      </w:pPr>
    </w:p>
    <w:p w:rsidR="00510B48" w:rsidRDefault="00510B48" w:rsidP="00510B48">
      <w:pPr>
        <w:widowControl/>
        <w:numPr>
          <w:ilvl w:val="1"/>
          <w:numId w:val="2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Przedmiot zamówienia wykonamy, po podpisaniu umowy, w terminie </w:t>
      </w:r>
      <w:r>
        <w:rPr>
          <w:sz w:val="22"/>
          <w:szCs w:val="22"/>
        </w:rPr>
        <w:t>określonym w Zaproszeniu do składania ofert.</w:t>
      </w:r>
    </w:p>
    <w:p w:rsidR="00510B48" w:rsidRDefault="00510B48" w:rsidP="00510B48">
      <w:pPr>
        <w:widowControl/>
        <w:numPr>
          <w:ilvl w:val="1"/>
          <w:numId w:val="2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Oświadczamy, iż uważamy się za związanych niniejszą ofertą w okresie </w:t>
      </w:r>
      <w:r w:rsidR="00813AC2">
        <w:rPr>
          <w:sz w:val="22"/>
          <w:szCs w:val="22"/>
        </w:rPr>
        <w:t>30</w:t>
      </w:r>
      <w:r>
        <w:rPr>
          <w:sz w:val="22"/>
          <w:szCs w:val="22"/>
        </w:rPr>
        <w:t xml:space="preserve"> dni od dnia  składania ofert.</w:t>
      </w:r>
    </w:p>
    <w:p w:rsidR="00510B48" w:rsidRDefault="00510B48" w:rsidP="00510B48">
      <w:pPr>
        <w:widowControl/>
        <w:numPr>
          <w:ilvl w:val="1"/>
          <w:numId w:val="2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Zobowiązujemy się, w prz</w:t>
      </w:r>
      <w:r w:rsidRPr="006E685B">
        <w:rPr>
          <w:sz w:val="22"/>
          <w:szCs w:val="22"/>
        </w:rPr>
        <w:t>ypadku wyboru naszej oferty, do zawarcia umowy w miejscu i terminie wyznaczonym przez Zamawiającego.</w:t>
      </w:r>
    </w:p>
    <w:p w:rsidR="00813AC2" w:rsidRDefault="00813AC2" w:rsidP="00510B48">
      <w:pPr>
        <w:widowControl/>
        <w:numPr>
          <w:ilvl w:val="1"/>
          <w:numId w:val="2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Oferujemy przedmiot zamówienia zgodny z parametrami technicznymi wymienionymi w Formularzu technicznym stanowiącym załącznik do niniejszego formularza ofertowego.</w:t>
      </w:r>
    </w:p>
    <w:p w:rsidR="00510B48" w:rsidRDefault="00510B48" w:rsidP="00510B48">
      <w:pPr>
        <w:widowControl/>
        <w:numPr>
          <w:ilvl w:val="1"/>
          <w:numId w:val="2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Zamówienie wykonamy sami/wykonamy prz</w:t>
      </w:r>
      <w:r w:rsidR="00E805E5">
        <w:rPr>
          <w:sz w:val="22"/>
          <w:szCs w:val="22"/>
        </w:rPr>
        <w:t>y pomocy podwykonawców w części</w:t>
      </w:r>
      <w:r>
        <w:rPr>
          <w:sz w:val="22"/>
          <w:szCs w:val="22"/>
        </w:rPr>
        <w:t>:</w:t>
      </w:r>
      <w:r w:rsidR="00E805E5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…………………………………………………………………………………………………….</w:t>
      </w:r>
    </w:p>
    <w:p w:rsidR="00813AC2" w:rsidRPr="006E685B" w:rsidRDefault="00813AC2" w:rsidP="00510B48">
      <w:pPr>
        <w:widowControl/>
        <w:numPr>
          <w:ilvl w:val="1"/>
          <w:numId w:val="2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Oświadczamy, że nie jesteśmy powiązani kapitałowo lub osobowo z Zamawiającym.</w:t>
      </w:r>
    </w:p>
    <w:p w:rsidR="00510B48" w:rsidRPr="006E685B" w:rsidRDefault="00510B48" w:rsidP="00510B48">
      <w:pPr>
        <w:spacing w:line="360" w:lineRule="auto"/>
        <w:rPr>
          <w:sz w:val="22"/>
          <w:szCs w:val="22"/>
        </w:rPr>
      </w:pPr>
    </w:p>
    <w:p w:rsidR="00510B48" w:rsidRDefault="00510B48" w:rsidP="00510B48">
      <w:pPr>
        <w:spacing w:after="120" w:line="360" w:lineRule="auto"/>
        <w:rPr>
          <w:sz w:val="22"/>
          <w:szCs w:val="22"/>
        </w:rPr>
      </w:pPr>
      <w:r w:rsidRPr="006E685B">
        <w:rPr>
          <w:sz w:val="22"/>
          <w:szCs w:val="22"/>
        </w:rPr>
        <w:t>Załącz</w:t>
      </w:r>
      <w:r>
        <w:rPr>
          <w:sz w:val="22"/>
          <w:szCs w:val="22"/>
        </w:rPr>
        <w:t>nikami do niniejszej Oferty, stanowiącymi integralną</w:t>
      </w:r>
      <w:r w:rsidRPr="006E685B">
        <w:rPr>
          <w:sz w:val="22"/>
          <w:szCs w:val="22"/>
        </w:rPr>
        <w:t xml:space="preserve"> część </w:t>
      </w:r>
      <w:r>
        <w:rPr>
          <w:sz w:val="22"/>
          <w:szCs w:val="22"/>
        </w:rPr>
        <w:t>O</w:t>
      </w:r>
      <w:r w:rsidRPr="006E685B">
        <w:rPr>
          <w:sz w:val="22"/>
          <w:szCs w:val="22"/>
        </w:rPr>
        <w:t>ferty są:</w:t>
      </w:r>
    </w:p>
    <w:p w:rsidR="00510B48" w:rsidRPr="00385957" w:rsidRDefault="00510B48" w:rsidP="00510B48">
      <w:pPr>
        <w:spacing w:line="360" w:lineRule="auto"/>
        <w:rPr>
          <w:sz w:val="22"/>
          <w:szCs w:val="22"/>
        </w:rPr>
      </w:pPr>
      <w:r w:rsidRPr="00385957">
        <w:rPr>
          <w:sz w:val="22"/>
          <w:szCs w:val="22"/>
        </w:rPr>
        <w:t>1</w:t>
      </w:r>
      <w:r w:rsidR="004727AB">
        <w:rPr>
          <w:sz w:val="22"/>
          <w:szCs w:val="22"/>
        </w:rPr>
        <w:t>. Formularz techniczny.</w:t>
      </w:r>
    </w:p>
    <w:p w:rsidR="00510B48" w:rsidRPr="00545F61" w:rsidRDefault="00510B48" w:rsidP="00545F61">
      <w:pPr>
        <w:spacing w:line="360" w:lineRule="auto"/>
        <w:rPr>
          <w:sz w:val="22"/>
          <w:szCs w:val="22"/>
        </w:rPr>
      </w:pPr>
      <w:r w:rsidRPr="00385957">
        <w:rPr>
          <w:sz w:val="22"/>
          <w:szCs w:val="22"/>
        </w:rPr>
        <w:t>2................................................................................................................................................................</w:t>
      </w:r>
    </w:p>
    <w:p w:rsidR="00510B48" w:rsidRDefault="00510B48" w:rsidP="00510B48">
      <w:pPr>
        <w:spacing w:line="360" w:lineRule="auto"/>
        <w:ind w:left="4948"/>
        <w:rPr>
          <w:sz w:val="24"/>
          <w:szCs w:val="24"/>
        </w:rPr>
      </w:pPr>
    </w:p>
    <w:p w:rsidR="00510B48" w:rsidRDefault="00510B48" w:rsidP="00510B48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:rsidR="00964748" w:rsidRDefault="00510B48" w:rsidP="0031742E">
      <w:pPr>
        <w:spacing w:line="360" w:lineRule="auto"/>
        <w:ind w:left="5815"/>
        <w:rPr>
          <w:i/>
        </w:rPr>
      </w:pPr>
      <w:r>
        <w:rPr>
          <w:i/>
        </w:rPr>
        <w:t>Data, podpis i pieczęć W</w:t>
      </w:r>
      <w:r w:rsidRPr="00B74220">
        <w:rPr>
          <w:i/>
        </w:rPr>
        <w:t>ykonawcy</w:t>
      </w:r>
    </w:p>
    <w:p w:rsidR="00AD5220" w:rsidRDefault="00AD5220" w:rsidP="00AD5220">
      <w:pPr>
        <w:jc w:val="center"/>
        <w:rPr>
          <w:b/>
          <w:sz w:val="24"/>
          <w:szCs w:val="24"/>
        </w:rPr>
      </w:pPr>
      <w:r w:rsidRPr="00035BD7">
        <w:rPr>
          <w:b/>
          <w:sz w:val="24"/>
          <w:szCs w:val="24"/>
        </w:rPr>
        <w:lastRenderedPageBreak/>
        <w:t>Formularz techniczny</w:t>
      </w:r>
    </w:p>
    <w:p w:rsidR="00AD5220" w:rsidRDefault="00AD5220" w:rsidP="00AD5220">
      <w:pPr>
        <w:rPr>
          <w:b/>
          <w:sz w:val="24"/>
          <w:szCs w:val="24"/>
        </w:rPr>
      </w:pPr>
    </w:p>
    <w:p w:rsidR="00AD5220" w:rsidRPr="00035BD7" w:rsidRDefault="00AD5220" w:rsidP="00AD5220">
      <w:pPr>
        <w:rPr>
          <w:sz w:val="24"/>
          <w:szCs w:val="24"/>
        </w:rPr>
      </w:pPr>
      <w:r w:rsidRPr="00035BD7">
        <w:rPr>
          <w:sz w:val="24"/>
          <w:szCs w:val="24"/>
        </w:rPr>
        <w:t>Oferujemy sprzęt posiadający poniższe parametry techniczne</w:t>
      </w:r>
    </w:p>
    <w:p w:rsidR="00AD5220" w:rsidRPr="00035BD7" w:rsidRDefault="00AD5220" w:rsidP="00AD5220">
      <w:pPr>
        <w:rPr>
          <w:b/>
          <w:sz w:val="24"/>
          <w:szCs w:val="24"/>
        </w:rPr>
      </w:pPr>
    </w:p>
    <w:p w:rsidR="00AD5220" w:rsidRDefault="00AD5220" w:rsidP="00AD5220">
      <w:pPr>
        <w:jc w:val="both"/>
      </w:pPr>
    </w:p>
    <w:p w:rsidR="00AD5220" w:rsidRPr="006300EB" w:rsidRDefault="00CB623B" w:rsidP="006300EB">
      <w:pPr>
        <w:widowControl/>
        <w:autoSpaceDE/>
        <w:autoSpaceDN/>
        <w:adjustRightInd/>
        <w:rPr>
          <w:b/>
        </w:rPr>
      </w:pPr>
      <w:r w:rsidRPr="006300EB">
        <w:rPr>
          <w:b/>
        </w:rPr>
        <w:t xml:space="preserve">Urządzenie do zapisywania zdarzeń, analizy danych przekazywanych z różnych urządzeń firmy </w:t>
      </w:r>
      <w:proofErr w:type="spellStart"/>
      <w:r w:rsidRPr="006300EB">
        <w:rPr>
          <w:b/>
        </w:rPr>
        <w:t>Fortinet</w:t>
      </w:r>
      <w:proofErr w:type="spellEnd"/>
      <w:r w:rsidRPr="006300EB">
        <w:rPr>
          <w:b/>
        </w:rPr>
        <w:t xml:space="preserve"> i innych narzędzi kompatybilnych z serwerem SYSLOG oraz raportowania -1szt.-</w:t>
      </w:r>
      <w:r w:rsidR="00AD5220" w:rsidRPr="006300EB">
        <w:rPr>
          <w:b/>
        </w:rPr>
        <w:t xml:space="preserve"> </w:t>
      </w:r>
      <w:r w:rsidR="006300EB">
        <w:rPr>
          <w:b/>
        </w:rPr>
        <w:br/>
      </w:r>
      <w:r w:rsidR="00AD5220" w:rsidRPr="006300EB">
        <w:rPr>
          <w:b/>
        </w:rPr>
        <w:t>producent ………………………….., model ……………….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7"/>
        <w:gridCol w:w="5044"/>
        <w:gridCol w:w="3461"/>
      </w:tblGrid>
      <w:tr w:rsidR="00545F61" w:rsidRPr="00953B9C" w:rsidTr="00545F61">
        <w:trPr>
          <w:jc w:val="center"/>
        </w:trPr>
        <w:tc>
          <w:tcPr>
            <w:tcW w:w="557" w:type="dxa"/>
            <w:shd w:val="clear" w:color="auto" w:fill="DDD9C3" w:themeFill="background2" w:themeFillShade="E6"/>
            <w:vAlign w:val="center"/>
          </w:tcPr>
          <w:p w:rsidR="00545F61" w:rsidRPr="00953B9C" w:rsidRDefault="00545F61" w:rsidP="002E106A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53B9C">
              <w:rPr>
                <w:b/>
              </w:rPr>
              <w:t>Lp</w:t>
            </w:r>
            <w:proofErr w:type="spellEnd"/>
          </w:p>
        </w:tc>
        <w:tc>
          <w:tcPr>
            <w:tcW w:w="5044" w:type="dxa"/>
            <w:shd w:val="clear" w:color="auto" w:fill="DDD9C3" w:themeFill="background2" w:themeFillShade="E6"/>
            <w:vAlign w:val="center"/>
          </w:tcPr>
          <w:p w:rsidR="00545F61" w:rsidRPr="00953B9C" w:rsidRDefault="00545F61" w:rsidP="002E106A">
            <w:pPr>
              <w:spacing w:line="276" w:lineRule="auto"/>
              <w:jc w:val="center"/>
              <w:rPr>
                <w:b/>
              </w:rPr>
            </w:pPr>
            <w:r w:rsidRPr="00953B9C">
              <w:rPr>
                <w:b/>
              </w:rPr>
              <w:t>Minimalne parametry</w:t>
            </w:r>
          </w:p>
        </w:tc>
        <w:tc>
          <w:tcPr>
            <w:tcW w:w="3461" w:type="dxa"/>
            <w:shd w:val="clear" w:color="auto" w:fill="DDD9C3" w:themeFill="background2" w:themeFillShade="E6"/>
          </w:tcPr>
          <w:p w:rsidR="00545F61" w:rsidRPr="00953B9C" w:rsidRDefault="006300EB" w:rsidP="002E10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Parametry sprzętu oferowanego przez Wykonawcę</w:t>
            </w:r>
          </w:p>
        </w:tc>
      </w:tr>
      <w:tr w:rsidR="00545F61" w:rsidTr="00545F61">
        <w:trPr>
          <w:jc w:val="center"/>
        </w:trPr>
        <w:tc>
          <w:tcPr>
            <w:tcW w:w="557" w:type="dxa"/>
            <w:vAlign w:val="center"/>
          </w:tcPr>
          <w:p w:rsidR="00545F61" w:rsidRDefault="00545F61" w:rsidP="00545F61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jc w:val="both"/>
            </w:pPr>
          </w:p>
        </w:tc>
        <w:tc>
          <w:tcPr>
            <w:tcW w:w="5044" w:type="dxa"/>
            <w:vAlign w:val="center"/>
          </w:tcPr>
          <w:p w:rsidR="00545F61" w:rsidRDefault="00545F61" w:rsidP="007C6949">
            <w:pPr>
              <w:widowControl/>
              <w:autoSpaceDE/>
              <w:autoSpaceDN/>
              <w:adjustRightInd/>
              <w:spacing w:after="120" w:line="256" w:lineRule="auto"/>
              <w:ind w:left="30"/>
              <w:jc w:val="both"/>
            </w:pPr>
            <w:r>
              <w:t>System musi dysponować co najmniej:   2 portami Gigabit Ethernet RJ-45. Rozwiązanie musi dysponować powierzchnią dyskową min. 4 TB.</w:t>
            </w:r>
            <w:r w:rsidR="007C6949">
              <w:t xml:space="preserve"> Urządzenie kompatybilne z urządzeniami UTM firmy </w:t>
            </w:r>
            <w:proofErr w:type="spellStart"/>
            <w:r w:rsidR="007C6949">
              <w:t>Fortinet</w:t>
            </w:r>
            <w:proofErr w:type="spellEnd"/>
            <w:r w:rsidR="007C6949">
              <w:t xml:space="preserve"> oraz innymi narzędziami kompatybilnymi z serwerem SYSLOG.</w:t>
            </w:r>
          </w:p>
        </w:tc>
        <w:tc>
          <w:tcPr>
            <w:tcW w:w="3461" w:type="dxa"/>
          </w:tcPr>
          <w:p w:rsidR="00545F61" w:rsidRDefault="00545F61" w:rsidP="00545F61">
            <w:pPr>
              <w:widowControl/>
              <w:autoSpaceDE/>
              <w:autoSpaceDN/>
              <w:adjustRightInd/>
              <w:spacing w:after="120" w:line="256" w:lineRule="auto"/>
              <w:ind w:left="30"/>
              <w:jc w:val="both"/>
            </w:pPr>
          </w:p>
        </w:tc>
      </w:tr>
      <w:tr w:rsidR="00545F61" w:rsidRPr="00EB5063" w:rsidTr="00545F61">
        <w:trPr>
          <w:jc w:val="center"/>
        </w:trPr>
        <w:tc>
          <w:tcPr>
            <w:tcW w:w="557" w:type="dxa"/>
            <w:vAlign w:val="center"/>
          </w:tcPr>
          <w:p w:rsidR="00545F61" w:rsidRDefault="00545F61" w:rsidP="00545F61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jc w:val="both"/>
            </w:pPr>
          </w:p>
        </w:tc>
        <w:tc>
          <w:tcPr>
            <w:tcW w:w="5044" w:type="dxa"/>
            <w:vAlign w:val="center"/>
          </w:tcPr>
          <w:p w:rsidR="00545F61" w:rsidRPr="00EB5063" w:rsidRDefault="00545F61" w:rsidP="00545F61">
            <w:pPr>
              <w:widowControl/>
              <w:autoSpaceDE/>
              <w:autoSpaceDN/>
              <w:adjustRightInd/>
              <w:spacing w:line="276" w:lineRule="auto"/>
              <w:jc w:val="both"/>
            </w:pPr>
            <w:r>
              <w:t>System musi być w stanie przyjmować minimum 100 GB logów na dzień. System musi być w stanie przeanalizować minimum 3000 logów na sekundę. Rozwiązanie musi umożliwiać kolekcjonowanie logów z co najmniej 150 systemów.</w:t>
            </w:r>
          </w:p>
        </w:tc>
        <w:tc>
          <w:tcPr>
            <w:tcW w:w="3461" w:type="dxa"/>
          </w:tcPr>
          <w:p w:rsidR="00545F61" w:rsidRDefault="00545F61" w:rsidP="00545F61">
            <w:pPr>
              <w:pStyle w:val="Akapitzlist"/>
              <w:widowControl/>
              <w:autoSpaceDE/>
              <w:autoSpaceDN/>
              <w:adjustRightInd/>
              <w:spacing w:line="276" w:lineRule="auto"/>
              <w:ind w:left="360"/>
              <w:jc w:val="both"/>
            </w:pPr>
          </w:p>
        </w:tc>
      </w:tr>
      <w:tr w:rsidR="00545F61" w:rsidTr="00545F61">
        <w:tblPrEx>
          <w:jc w:val="left"/>
        </w:tblPrEx>
        <w:tc>
          <w:tcPr>
            <w:tcW w:w="557" w:type="dxa"/>
          </w:tcPr>
          <w:p w:rsidR="00545F61" w:rsidRPr="00EB5063" w:rsidRDefault="00545F61" w:rsidP="00545F61">
            <w:pPr>
              <w:pStyle w:val="Akapitzlist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jc w:val="both"/>
            </w:pPr>
          </w:p>
        </w:tc>
        <w:tc>
          <w:tcPr>
            <w:tcW w:w="5044" w:type="dxa"/>
          </w:tcPr>
          <w:p w:rsidR="00545F61" w:rsidRPr="00545F61" w:rsidRDefault="00545F61" w:rsidP="00545F61">
            <w:pPr>
              <w:tabs>
                <w:tab w:val="left" w:pos="349"/>
              </w:tabs>
              <w:autoSpaceDE/>
              <w:autoSpaceDN/>
              <w:adjustRightInd/>
              <w:spacing w:line="276" w:lineRule="auto"/>
              <w:rPr>
                <w:rFonts w:cstheme="minorHAnsi"/>
                <w:color w:val="000000"/>
              </w:rPr>
            </w:pPr>
            <w:r w:rsidRPr="00545F61">
              <w:rPr>
                <w:rFonts w:cstheme="minorHAnsi"/>
                <w:color w:val="000000"/>
              </w:rPr>
              <w:t>Podgląd logowanych zdarzeń w czasie rzeczywistym.</w:t>
            </w:r>
          </w:p>
          <w:p w:rsidR="00545F61" w:rsidRPr="00545F61" w:rsidRDefault="00545F61" w:rsidP="00545F61">
            <w:pPr>
              <w:tabs>
                <w:tab w:val="left" w:pos="349"/>
              </w:tabs>
              <w:autoSpaceDE/>
              <w:autoSpaceDN/>
              <w:adjustRightInd/>
              <w:spacing w:line="276" w:lineRule="auto"/>
              <w:rPr>
                <w:rFonts w:cstheme="minorHAnsi"/>
                <w:color w:val="000000"/>
              </w:rPr>
            </w:pPr>
            <w:r w:rsidRPr="00545F61">
              <w:rPr>
                <w:rFonts w:cstheme="minorHAnsi"/>
                <w:color w:val="000000"/>
              </w:rPr>
              <w:t xml:space="preserve">Możliwość przeglądania logów historycznych z funkcją filtrowania. System musi oferować predefiniowane (lub mieć możliwość ich konfiguracji) podręczne raporty graficzne lub tekstowe obrazujące stan pracy urządzenia oraz ogólne informacje dotyczące statystyk ruchu sieciowego i zdarzeń bezpieczeństwa. </w:t>
            </w:r>
            <w:r>
              <w:rPr>
                <w:rFonts w:cstheme="minorHAnsi"/>
                <w:color w:val="000000"/>
              </w:rPr>
              <w:t xml:space="preserve">Muszą one obejmować co najmniej( </w:t>
            </w:r>
            <w:r w:rsidRPr="00545F61">
              <w:rPr>
                <w:rFonts w:cstheme="minorHAnsi"/>
                <w:color w:val="000000"/>
              </w:rPr>
              <w:t>listę najczęściej wykrywanych ataków,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545F61">
              <w:rPr>
                <w:rFonts w:cstheme="minorHAnsi"/>
                <w:color w:val="000000"/>
              </w:rPr>
              <w:t>listę najbardziej aktywnych użytkowników,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545F61">
              <w:rPr>
                <w:rFonts w:cstheme="minorHAnsi"/>
                <w:color w:val="000000"/>
              </w:rPr>
              <w:t>listę najczęściej wykorzystywanych aplikacji,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545F61">
              <w:rPr>
                <w:rFonts w:cstheme="minorHAnsi"/>
                <w:color w:val="000000"/>
              </w:rPr>
              <w:t>listę najczęściej odwiedzanych stron www,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545F61">
              <w:rPr>
                <w:rFonts w:cstheme="minorHAnsi"/>
                <w:color w:val="000000"/>
              </w:rPr>
              <w:t>listę krajów , do których nawiązywane są połączenia,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545F61">
              <w:rPr>
                <w:rFonts w:cstheme="minorHAnsi"/>
                <w:color w:val="000000"/>
              </w:rPr>
              <w:t>listę najczęściej wykorzystywanych polityk Firewall,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545F61">
              <w:rPr>
                <w:rFonts w:cstheme="minorHAnsi"/>
                <w:color w:val="000000"/>
              </w:rPr>
              <w:t>informacje o realizowanych</w:t>
            </w:r>
            <w:r>
              <w:rPr>
                <w:rFonts w:cstheme="minorHAnsi"/>
                <w:color w:val="000000"/>
              </w:rPr>
              <w:t xml:space="preserve"> połączeniach </w:t>
            </w:r>
            <w:proofErr w:type="spellStart"/>
            <w:r>
              <w:rPr>
                <w:rFonts w:cstheme="minorHAnsi"/>
                <w:color w:val="000000"/>
              </w:rPr>
              <w:t>IPSec</w:t>
            </w:r>
            <w:proofErr w:type="spellEnd"/>
            <w:r>
              <w:rPr>
                <w:rFonts w:cstheme="minorHAnsi"/>
                <w:color w:val="000000"/>
              </w:rPr>
              <w:t>).</w:t>
            </w:r>
          </w:p>
          <w:p w:rsidR="00545F61" w:rsidRPr="00545F61" w:rsidRDefault="00545F61" w:rsidP="00545F61">
            <w:pPr>
              <w:tabs>
                <w:tab w:val="left" w:pos="349"/>
              </w:tabs>
              <w:autoSpaceDE/>
              <w:autoSpaceDN/>
              <w:adjustRightInd/>
              <w:spacing w:line="276" w:lineRule="auto"/>
              <w:rPr>
                <w:color w:val="000000"/>
              </w:rPr>
            </w:pPr>
            <w:r w:rsidRPr="00545F61">
              <w:rPr>
                <w:rFonts w:cstheme="minorHAnsi"/>
                <w:color w:val="000000"/>
              </w:rPr>
              <w:t>Rozwiązanie musi posiadać możliwość przesyłania kopii logów z do innych systemów logowania i przetwarzania danych. Musi w tym zakresie zapewniać mechanizmy filtrowania dla  wysyłanych logów.</w:t>
            </w:r>
            <w:r>
              <w:rPr>
                <w:rFonts w:cstheme="minorHAnsi"/>
                <w:color w:val="000000"/>
              </w:rPr>
              <w:t xml:space="preserve"> </w:t>
            </w:r>
            <w:r w:rsidRPr="00545F61">
              <w:rPr>
                <w:rFonts w:cstheme="minorHAnsi"/>
                <w:color w:val="000000"/>
              </w:rPr>
              <w:t>Komunikacja systemów bezpieczeństwa (z których przesyłane są logi) z oferowanym systemem   centralnego logowania musi być możliwa co najmniej z wykorzystaniem UDP/514 oraz TCP/514.</w:t>
            </w:r>
            <w:r>
              <w:rPr>
                <w:rFonts w:cstheme="minorHAnsi"/>
                <w:color w:val="000000"/>
              </w:rPr>
              <w:t xml:space="preserve"> </w:t>
            </w:r>
            <w:r w:rsidRPr="00545F61">
              <w:rPr>
                <w:rFonts w:cstheme="minorHAnsi"/>
                <w:color w:val="000000"/>
              </w:rPr>
              <w:t>System musi realizować cykliczny eksport logów do zewnętrznego systemu w celu ich długo czasowego składowania. Eksport logów musi być możliwy za pomocą protokołu SFTP lub na zewnętrzny zasób sieciowy.</w:t>
            </w:r>
          </w:p>
        </w:tc>
        <w:tc>
          <w:tcPr>
            <w:tcW w:w="3461" w:type="dxa"/>
          </w:tcPr>
          <w:p w:rsidR="00545F61" w:rsidRPr="00EB5063" w:rsidRDefault="00545F61" w:rsidP="00545F61">
            <w:pPr>
              <w:pStyle w:val="Akapitzlist"/>
              <w:tabs>
                <w:tab w:val="left" w:pos="349"/>
              </w:tabs>
              <w:autoSpaceDE/>
              <w:autoSpaceDN/>
              <w:adjustRightInd/>
              <w:spacing w:line="276" w:lineRule="auto"/>
              <w:ind w:left="360"/>
              <w:rPr>
                <w:rFonts w:cstheme="minorHAnsi"/>
                <w:color w:val="000000"/>
              </w:rPr>
            </w:pPr>
          </w:p>
        </w:tc>
      </w:tr>
      <w:tr w:rsidR="00545F61" w:rsidTr="00545F61">
        <w:tblPrEx>
          <w:jc w:val="left"/>
        </w:tblPrEx>
        <w:tc>
          <w:tcPr>
            <w:tcW w:w="557" w:type="dxa"/>
          </w:tcPr>
          <w:p w:rsidR="00545F61" w:rsidRPr="00EB5063" w:rsidRDefault="00545F61" w:rsidP="00545F61">
            <w:pPr>
              <w:pStyle w:val="Akapitzlist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jc w:val="both"/>
            </w:pPr>
          </w:p>
        </w:tc>
        <w:tc>
          <w:tcPr>
            <w:tcW w:w="5044" w:type="dxa"/>
          </w:tcPr>
          <w:p w:rsidR="00545F61" w:rsidRPr="00EB5063" w:rsidRDefault="00545F61" w:rsidP="00545F61">
            <w:pPr>
              <w:tabs>
                <w:tab w:val="left" w:pos="349"/>
              </w:tabs>
              <w:spacing w:line="276" w:lineRule="auto"/>
              <w:rPr>
                <w:rFonts w:cstheme="minorHAnsi"/>
                <w:color w:val="000000"/>
              </w:rPr>
            </w:pPr>
            <w:r w:rsidRPr="00EB5063">
              <w:rPr>
                <w:rFonts w:cstheme="minorHAnsi"/>
                <w:color w:val="000000"/>
              </w:rPr>
              <w:t>W zakresie raportowania system musi zapewniać:</w:t>
            </w:r>
            <w:r>
              <w:rPr>
                <w:rFonts w:cstheme="minorHAnsi"/>
                <w:color w:val="000000"/>
              </w:rPr>
              <w:t xml:space="preserve"> </w:t>
            </w:r>
            <w:r w:rsidRPr="00EB5063">
              <w:rPr>
                <w:rFonts w:cstheme="minorHAnsi"/>
                <w:color w:val="000000"/>
              </w:rPr>
              <w:t>generowanie raportów co najmniej w formatach: HTML, PDF, CSV,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EB5063">
              <w:rPr>
                <w:rFonts w:cstheme="minorHAnsi"/>
                <w:color w:val="000000"/>
              </w:rPr>
              <w:t>predefiniowane zestawy raportów, dla których administrator systemu może modyfikować parametry prezentowania wyników,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EB5063">
              <w:rPr>
                <w:rFonts w:cstheme="minorHAnsi"/>
                <w:color w:val="000000"/>
              </w:rPr>
              <w:t>funkcję definiowania własnych raportów,</w:t>
            </w:r>
            <w:r>
              <w:rPr>
                <w:rFonts w:cstheme="minorHAnsi"/>
                <w:color w:val="000000"/>
              </w:rPr>
              <w:t xml:space="preserve"> m</w:t>
            </w:r>
            <w:r w:rsidRPr="00EB5063">
              <w:rPr>
                <w:rFonts w:cstheme="minorHAnsi"/>
                <w:color w:val="000000"/>
              </w:rPr>
              <w:t>ożliwość spolszczenia raportów,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EB5063">
              <w:rPr>
                <w:rFonts w:cstheme="minorHAnsi"/>
                <w:color w:val="000000"/>
              </w:rPr>
              <w:t xml:space="preserve">generowanie raportów w sposób cykliczny lub na żądanie, z możliwością </w:t>
            </w:r>
            <w:r w:rsidRPr="00EB5063">
              <w:rPr>
                <w:rFonts w:cstheme="minorHAnsi"/>
                <w:color w:val="000000"/>
              </w:rPr>
              <w:lastRenderedPageBreak/>
              <w:t>automatycznego przesłania wyników na  określony adres lub adresy email.</w:t>
            </w:r>
          </w:p>
        </w:tc>
        <w:tc>
          <w:tcPr>
            <w:tcW w:w="3461" w:type="dxa"/>
          </w:tcPr>
          <w:p w:rsidR="00545F61" w:rsidRPr="00EB5063" w:rsidRDefault="00545F61" w:rsidP="002E106A">
            <w:pPr>
              <w:tabs>
                <w:tab w:val="left" w:pos="349"/>
              </w:tabs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545F61" w:rsidTr="00545F61">
        <w:tblPrEx>
          <w:jc w:val="left"/>
        </w:tblPrEx>
        <w:tc>
          <w:tcPr>
            <w:tcW w:w="557" w:type="dxa"/>
          </w:tcPr>
          <w:p w:rsidR="00545F61" w:rsidRPr="00EB5063" w:rsidRDefault="00545F61" w:rsidP="00545F61">
            <w:pPr>
              <w:pStyle w:val="Akapitzlist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jc w:val="both"/>
            </w:pPr>
          </w:p>
        </w:tc>
        <w:tc>
          <w:tcPr>
            <w:tcW w:w="5044" w:type="dxa"/>
          </w:tcPr>
          <w:p w:rsidR="00545F61" w:rsidRPr="00EB5063" w:rsidRDefault="00545F61" w:rsidP="00545F61">
            <w:pPr>
              <w:tabs>
                <w:tab w:val="left" w:pos="349"/>
              </w:tabs>
              <w:spacing w:line="276" w:lineRule="auto"/>
              <w:rPr>
                <w:rFonts w:cstheme="minorHAnsi"/>
                <w:color w:val="000000"/>
              </w:rPr>
            </w:pPr>
            <w:r w:rsidRPr="00EB5063">
              <w:rPr>
                <w:rFonts w:cstheme="minorHAnsi"/>
                <w:color w:val="000000"/>
              </w:rPr>
              <w:t>W zakresie korelacji zdarzeń system musi zapewniać:</w:t>
            </w:r>
            <w:r>
              <w:rPr>
                <w:rFonts w:cstheme="minorHAnsi"/>
                <w:color w:val="000000"/>
              </w:rPr>
              <w:t xml:space="preserve"> </w:t>
            </w:r>
            <w:r w:rsidRPr="00EB5063">
              <w:rPr>
                <w:rFonts w:cstheme="minorHAnsi"/>
                <w:color w:val="000000"/>
              </w:rPr>
              <w:t>korelowanie logów z określeniem urządzeń, dla których ten proces ma być realizowany,</w:t>
            </w:r>
            <w:r>
              <w:rPr>
                <w:rFonts w:cstheme="minorHAnsi"/>
                <w:color w:val="000000"/>
              </w:rPr>
              <w:t xml:space="preserve"> k</w:t>
            </w:r>
            <w:r w:rsidRPr="00EB5063">
              <w:rPr>
                <w:rFonts w:cstheme="minorHAnsi"/>
                <w:color w:val="000000"/>
              </w:rPr>
              <w:t>onfigurację powiadomień poprzez: e-mail, SNMP w przypadku wystąpienia określonych zdarzeń sieciowych, systemowych oraz bezpieczeństwa,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EB5063">
              <w:rPr>
                <w:rFonts w:cstheme="minorHAnsi"/>
                <w:color w:val="000000"/>
              </w:rPr>
              <w:t>wybór kategorii zdarzeń, dla których tworzone będą reguły korelacyjne. System korelować zdarzenia co najmniej dla następujących kategorii zdarzeń:</w:t>
            </w:r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EB5063">
              <w:rPr>
                <w:rFonts w:cstheme="minorHAnsi"/>
                <w:color w:val="000000"/>
              </w:rPr>
              <w:t>Malware</w:t>
            </w:r>
            <w:proofErr w:type="spellEnd"/>
            <w:r w:rsidRPr="00EB5063">
              <w:rPr>
                <w:rFonts w:cstheme="minorHAnsi"/>
                <w:color w:val="000000"/>
              </w:rPr>
              <w:t>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EB5063">
              <w:rPr>
                <w:rFonts w:cstheme="minorHAnsi"/>
                <w:color w:val="000000"/>
              </w:rPr>
              <w:t>Aplikacje sieciowe,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EB5063">
              <w:rPr>
                <w:rFonts w:cstheme="minorHAnsi"/>
                <w:color w:val="000000"/>
              </w:rPr>
              <w:t>Email,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EB5063">
              <w:rPr>
                <w:rFonts w:cstheme="minorHAnsi"/>
                <w:color w:val="000000"/>
              </w:rPr>
              <w:t>IPS,</w:t>
            </w:r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EB5063">
              <w:rPr>
                <w:rFonts w:cstheme="minorHAnsi"/>
                <w:color w:val="000000"/>
              </w:rPr>
              <w:t>Traffic</w:t>
            </w:r>
            <w:proofErr w:type="spellEnd"/>
            <w:r w:rsidRPr="00EB5063">
              <w:rPr>
                <w:rFonts w:cstheme="minorHAnsi"/>
                <w:color w:val="000000"/>
              </w:rPr>
              <w:t>,</w:t>
            </w:r>
            <w:r>
              <w:rPr>
                <w:rFonts w:cstheme="minorHAnsi"/>
                <w:color w:val="000000"/>
              </w:rPr>
              <w:t xml:space="preserve"> Systemowe (</w:t>
            </w:r>
            <w:r w:rsidRPr="00EB5063">
              <w:rPr>
                <w:rFonts w:cstheme="minorHAnsi"/>
                <w:color w:val="000000"/>
              </w:rPr>
              <w:t>utracone połączenie VPN, utracone połączenie sieciowe</w:t>
            </w:r>
            <w:r>
              <w:rPr>
                <w:rFonts w:cstheme="minorHAnsi"/>
                <w:color w:val="000000"/>
              </w:rPr>
              <w:t>)</w:t>
            </w:r>
            <w:r w:rsidRPr="00EB5063">
              <w:rPr>
                <w:rFonts w:cstheme="minorHAnsi"/>
                <w:color w:val="000000"/>
              </w:rPr>
              <w:t>.</w:t>
            </w:r>
          </w:p>
        </w:tc>
        <w:tc>
          <w:tcPr>
            <w:tcW w:w="3461" w:type="dxa"/>
          </w:tcPr>
          <w:p w:rsidR="00545F61" w:rsidRPr="00EB5063" w:rsidRDefault="00545F61" w:rsidP="002E106A">
            <w:pPr>
              <w:tabs>
                <w:tab w:val="left" w:pos="349"/>
              </w:tabs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545F61" w:rsidTr="00545F61">
        <w:tblPrEx>
          <w:jc w:val="left"/>
        </w:tblPrEx>
        <w:tc>
          <w:tcPr>
            <w:tcW w:w="557" w:type="dxa"/>
          </w:tcPr>
          <w:p w:rsidR="00545F61" w:rsidRPr="00EB5063" w:rsidRDefault="00545F61" w:rsidP="00545F61">
            <w:pPr>
              <w:pStyle w:val="Akapitzlist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jc w:val="both"/>
            </w:pPr>
          </w:p>
        </w:tc>
        <w:tc>
          <w:tcPr>
            <w:tcW w:w="5044" w:type="dxa"/>
          </w:tcPr>
          <w:p w:rsidR="00545F61" w:rsidRPr="00545F61" w:rsidRDefault="00545F61" w:rsidP="00545F61">
            <w:pPr>
              <w:widowControl/>
              <w:autoSpaceDE/>
              <w:autoSpaceDN/>
              <w:adjustRightInd/>
              <w:spacing w:after="120" w:line="256" w:lineRule="auto"/>
              <w:jc w:val="both"/>
              <w:rPr>
                <w:rFonts w:cstheme="minorHAnsi"/>
                <w:color w:val="000000"/>
              </w:rPr>
            </w:pPr>
            <w:r>
              <w:t>System logowania i raportowania musi mieć możliwość zarządzania lokalnego z wykorzystaniem protokołów: HTTPS oraz SSH lub producent rozwiązania musi dostarczać dedykowanej konsoli zarządzania, która komunikuje się z rozwiązaniem przy wykorzystaniu szyfrowanych protokołów. Proces uwierzytelniania administratorów musi być realizowany w oparciu o: lokalną bazę, Radius, LDAP, PKI. System musi umożliwiać definiowanie co najmniej 6 administratorów z możliwością określenia praw dostępu do logowanych informacji i raportów z perspektywy poszczególnych systemów, z których przesyłane są logi.</w:t>
            </w:r>
          </w:p>
        </w:tc>
        <w:tc>
          <w:tcPr>
            <w:tcW w:w="3461" w:type="dxa"/>
          </w:tcPr>
          <w:p w:rsidR="00545F61" w:rsidRDefault="00545F61" w:rsidP="00545F61">
            <w:pPr>
              <w:pStyle w:val="Akapitzlist"/>
              <w:widowControl/>
              <w:autoSpaceDE/>
              <w:autoSpaceDN/>
              <w:adjustRightInd/>
              <w:spacing w:after="120" w:line="256" w:lineRule="auto"/>
              <w:ind w:left="313"/>
              <w:jc w:val="both"/>
            </w:pPr>
          </w:p>
        </w:tc>
      </w:tr>
      <w:tr w:rsidR="00545F61" w:rsidTr="00545F61">
        <w:tblPrEx>
          <w:jc w:val="left"/>
        </w:tblPrEx>
        <w:tc>
          <w:tcPr>
            <w:tcW w:w="557" w:type="dxa"/>
          </w:tcPr>
          <w:p w:rsidR="00545F61" w:rsidRPr="00EB5063" w:rsidRDefault="00545F61" w:rsidP="00545F61">
            <w:pPr>
              <w:pStyle w:val="Akapitzlist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jc w:val="both"/>
            </w:pPr>
          </w:p>
        </w:tc>
        <w:tc>
          <w:tcPr>
            <w:tcW w:w="5044" w:type="dxa"/>
          </w:tcPr>
          <w:p w:rsidR="00545F61" w:rsidRPr="00545F61" w:rsidRDefault="00545F61" w:rsidP="00545F61">
            <w:pPr>
              <w:widowControl/>
              <w:autoSpaceDE/>
              <w:autoSpaceDN/>
              <w:adjustRightInd/>
              <w:spacing w:after="120" w:line="259" w:lineRule="auto"/>
              <w:jc w:val="both"/>
              <w:rPr>
                <w:rFonts w:cstheme="minorHAnsi"/>
                <w:color w:val="000000"/>
              </w:rPr>
            </w:pPr>
            <w:r>
              <w:t>Okres gwarancji: 12 miesięcy, licząc od dnia podpisania protokołu odbioru przez Strony umowy – bez zastrzeżeń. Wykonawca dostarczy urządzenie objęte gwarancją producenta lub autoryzowanego dystrybutora urządzania na Polskę.</w:t>
            </w:r>
          </w:p>
        </w:tc>
        <w:tc>
          <w:tcPr>
            <w:tcW w:w="3461" w:type="dxa"/>
          </w:tcPr>
          <w:p w:rsidR="00545F61" w:rsidRDefault="00545F61" w:rsidP="00545F61">
            <w:pPr>
              <w:pStyle w:val="Akapitzlist"/>
              <w:widowControl/>
              <w:autoSpaceDE/>
              <w:autoSpaceDN/>
              <w:adjustRightInd/>
              <w:spacing w:after="120" w:line="259" w:lineRule="auto"/>
              <w:ind w:left="313"/>
              <w:jc w:val="both"/>
            </w:pPr>
          </w:p>
        </w:tc>
      </w:tr>
      <w:tr w:rsidR="00545F61" w:rsidTr="00545F61">
        <w:tblPrEx>
          <w:jc w:val="left"/>
        </w:tblPrEx>
        <w:tc>
          <w:tcPr>
            <w:tcW w:w="557" w:type="dxa"/>
          </w:tcPr>
          <w:p w:rsidR="00545F61" w:rsidRPr="00EB5063" w:rsidRDefault="00545F61" w:rsidP="00545F61">
            <w:pPr>
              <w:pStyle w:val="Akapitzlist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jc w:val="both"/>
            </w:pPr>
          </w:p>
        </w:tc>
        <w:tc>
          <w:tcPr>
            <w:tcW w:w="5044" w:type="dxa"/>
          </w:tcPr>
          <w:p w:rsidR="00545F61" w:rsidRPr="003D31E9" w:rsidRDefault="00545F61" w:rsidP="00CB623B">
            <w:pPr>
              <w:tabs>
                <w:tab w:val="left" w:pos="349"/>
              </w:tabs>
              <w:autoSpaceDE/>
              <w:autoSpaceDN/>
              <w:adjustRightInd/>
              <w:spacing w:line="276" w:lineRule="auto"/>
              <w:rPr>
                <w:rFonts w:cstheme="minorHAnsi"/>
                <w:color w:val="000000"/>
              </w:rPr>
            </w:pPr>
            <w:r w:rsidRPr="003D31E9">
              <w:rPr>
                <w:rFonts w:cstheme="minorHAnsi"/>
                <w:color w:val="000000"/>
              </w:rPr>
              <w:t>w okresie gwarancji Wykonawca zobowiązuje się do zapewnienia ciągłości realizacji serwisu gwarancyjnego w siedzibie Zamawiającego, na warunkach określonych w pkt 2-9,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3D31E9">
              <w:rPr>
                <w:rFonts w:cstheme="minorHAnsi"/>
                <w:color w:val="000000"/>
              </w:rPr>
              <w:t>gwarancja obejmuje naprawę urządzenia przez producenta</w:t>
            </w:r>
            <w:r>
              <w:rPr>
                <w:rFonts w:cstheme="minorHAnsi"/>
                <w:color w:val="000000"/>
              </w:rPr>
              <w:t xml:space="preserve"> lub</w:t>
            </w:r>
            <w:r w:rsidRPr="003D31E9">
              <w:rPr>
                <w:rFonts w:cstheme="minorHAnsi"/>
                <w:color w:val="000000"/>
              </w:rPr>
              <w:t xml:space="preserve"> autoryzowanego partnera se</w:t>
            </w:r>
            <w:r>
              <w:rPr>
                <w:rFonts w:cstheme="minorHAnsi"/>
                <w:color w:val="000000"/>
              </w:rPr>
              <w:t xml:space="preserve">rwisowego producenta urządzenia. </w:t>
            </w:r>
            <w:r w:rsidRPr="003D31E9">
              <w:rPr>
                <w:rFonts w:cstheme="minorHAnsi"/>
                <w:color w:val="000000"/>
              </w:rPr>
              <w:t>Zamawiający będzie zgłaszał awarie w dni robocze w godzinach 8.15-16.15 – telefonicznie, za pośrednictwem poczty e-mail lub str</w:t>
            </w:r>
            <w:r>
              <w:rPr>
                <w:rFonts w:cstheme="minorHAnsi"/>
                <w:color w:val="000000"/>
              </w:rPr>
              <w:t xml:space="preserve">ony internetowej; </w:t>
            </w:r>
            <w:r w:rsidRPr="003D31E9">
              <w:rPr>
                <w:rFonts w:cstheme="minorHAnsi"/>
                <w:color w:val="000000"/>
              </w:rPr>
              <w:t>przyjmowanie zgłoszeń serwisowych musi odbywać się w języku polskim,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3D31E9">
              <w:rPr>
                <w:rFonts w:cstheme="minorHAnsi"/>
                <w:color w:val="000000"/>
              </w:rPr>
              <w:t>w przypadku zgłoszenia przez Zamawiającego awarii urządzenia, Wykonawca przystąpi do usuwania awarii nie później niż w ciągu następnego dnia roboczego licząc od momentu otrzymania zgłoszenia,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3D31E9">
              <w:rPr>
                <w:rFonts w:cstheme="minorHAnsi"/>
                <w:color w:val="000000"/>
              </w:rPr>
              <w:t>Wykonawca maksymalnie w ciągu 2 dni roboczych od momentu otrzymania zgłoszenia, dokona skutecznej naprawy urządzenia; zgłoszenie w trybie 8x5xNBD,</w:t>
            </w:r>
            <w:r w:rsidR="00CB623B">
              <w:rPr>
                <w:rFonts w:cstheme="minorHAnsi"/>
                <w:color w:val="000000"/>
              </w:rPr>
              <w:t xml:space="preserve"> </w:t>
            </w:r>
            <w:r w:rsidRPr="003D31E9">
              <w:rPr>
                <w:rFonts w:cstheme="minorHAnsi"/>
                <w:color w:val="000000"/>
              </w:rPr>
              <w:t xml:space="preserve">w przypadku niemożności naprawy urządzenia w terminie, o którym mowa w pkt 5, Wykonawca dostarczy Zamawiającemu najpóźniej w 2 dniu roboczym od zgłoszenia awarii, na własny koszt, urządzenie o parametrach nie gorszych od urządzenia zaoferowanego, oraz o porównywalnej funkcjonalności; urządzenie </w:t>
            </w:r>
            <w:r w:rsidRPr="003D31E9">
              <w:rPr>
                <w:rFonts w:cstheme="minorHAnsi"/>
                <w:color w:val="000000"/>
              </w:rPr>
              <w:lastRenderedPageBreak/>
              <w:t>zastępcze musi zostać skonfigurowane tak, jak urządzenie użytkowane przez Zamawiającego; urządzenie zastępcze zostanie zwrócone Wykonawcy po zakończeniu naprawy; Zamawiającemu nie przysługuje wówczas kara umowna, o której mowa w § 9 ust. 3 umowy,</w:t>
            </w:r>
            <w:r w:rsidR="00CB623B">
              <w:rPr>
                <w:rFonts w:cstheme="minorHAnsi"/>
                <w:color w:val="000000"/>
              </w:rPr>
              <w:t xml:space="preserve"> </w:t>
            </w:r>
            <w:r w:rsidRPr="003D31E9">
              <w:rPr>
                <w:rFonts w:cstheme="minorHAnsi"/>
                <w:color w:val="000000"/>
              </w:rPr>
              <w:t xml:space="preserve">Wykonawca zobowiązany będzie do wymiany urządzenia na nowe, na własny koszt, </w:t>
            </w:r>
            <w:r>
              <w:rPr>
                <w:rFonts w:cstheme="minorHAnsi"/>
                <w:color w:val="000000"/>
              </w:rPr>
              <w:t>w </w:t>
            </w:r>
            <w:r w:rsidRPr="003D31E9">
              <w:rPr>
                <w:rFonts w:cstheme="minorHAnsi"/>
                <w:color w:val="000000"/>
              </w:rPr>
              <w:t>terminie 7 dni roboczych, od dnia zgłoszenia przez Zamawiającego takiego żądania w</w:t>
            </w:r>
            <w:r>
              <w:rPr>
                <w:rFonts w:cstheme="minorHAnsi"/>
                <w:color w:val="000000"/>
              </w:rPr>
              <w:t> </w:t>
            </w:r>
            <w:r w:rsidRPr="003D31E9">
              <w:rPr>
                <w:rFonts w:cstheme="minorHAnsi"/>
                <w:color w:val="000000"/>
              </w:rPr>
              <w:t>formie pisemnej, w przypadkach: niewykonania naprawy w terminie 5 dni roboczych, od dnia zgłoszenia awarii przez Zamawiającego,</w:t>
            </w:r>
            <w:r w:rsidR="00CB623B">
              <w:rPr>
                <w:rFonts w:cstheme="minorHAnsi"/>
                <w:color w:val="000000"/>
              </w:rPr>
              <w:t xml:space="preserve"> </w:t>
            </w:r>
            <w:r w:rsidRPr="003D31E9">
              <w:rPr>
                <w:rFonts w:cstheme="minorHAnsi"/>
                <w:color w:val="000000"/>
              </w:rPr>
              <w:t xml:space="preserve">wystąpienia kolejnej awarii, wady lub usterki urządzenia, po wcześniejszym wykonaniu 3 napraw </w:t>
            </w:r>
            <w:r>
              <w:rPr>
                <w:rFonts w:cstheme="minorHAnsi"/>
                <w:color w:val="000000"/>
              </w:rPr>
              <w:t>gwarancyjnych danego urządzenia.</w:t>
            </w:r>
          </w:p>
        </w:tc>
        <w:tc>
          <w:tcPr>
            <w:tcW w:w="3461" w:type="dxa"/>
          </w:tcPr>
          <w:p w:rsidR="00545F61" w:rsidRPr="003D31E9" w:rsidRDefault="00545F61" w:rsidP="00545F61">
            <w:pPr>
              <w:tabs>
                <w:tab w:val="left" w:pos="349"/>
              </w:tabs>
              <w:autoSpaceDE/>
              <w:autoSpaceDN/>
              <w:adjustRightInd/>
              <w:spacing w:line="276" w:lineRule="auto"/>
              <w:ind w:left="325"/>
              <w:rPr>
                <w:rFonts w:cstheme="minorHAnsi"/>
                <w:color w:val="000000"/>
              </w:rPr>
            </w:pPr>
          </w:p>
        </w:tc>
      </w:tr>
    </w:tbl>
    <w:p w:rsidR="00AD5220" w:rsidRPr="00011848" w:rsidRDefault="00AD5220" w:rsidP="00AD5220"/>
    <w:sectPr w:rsidR="00AD5220" w:rsidRPr="00011848" w:rsidSect="00964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2D12187"/>
    <w:multiLevelType w:val="hybridMultilevel"/>
    <w:tmpl w:val="F0907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8608F"/>
    <w:multiLevelType w:val="hybridMultilevel"/>
    <w:tmpl w:val="AF689664"/>
    <w:lvl w:ilvl="0" w:tplc="0415000F">
      <w:start w:val="1"/>
      <w:numFmt w:val="decimal"/>
      <w:pStyle w:val="Listanumerowana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814D5"/>
    <w:multiLevelType w:val="hybridMultilevel"/>
    <w:tmpl w:val="6186C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D4204"/>
    <w:multiLevelType w:val="hybridMultilevel"/>
    <w:tmpl w:val="B93604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146B57"/>
    <w:multiLevelType w:val="hybridMultilevel"/>
    <w:tmpl w:val="6A2ED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A07A0"/>
    <w:multiLevelType w:val="hybridMultilevel"/>
    <w:tmpl w:val="DD941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95E24"/>
    <w:multiLevelType w:val="hybridMultilevel"/>
    <w:tmpl w:val="A3D0E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8679D"/>
    <w:multiLevelType w:val="hybridMultilevel"/>
    <w:tmpl w:val="C1F67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27104"/>
    <w:multiLevelType w:val="hybridMultilevel"/>
    <w:tmpl w:val="3B102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00B29"/>
    <w:multiLevelType w:val="hybridMultilevel"/>
    <w:tmpl w:val="04EE8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0095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 w15:restartNumberingAfterBreak="0">
    <w:nsid w:val="496B6253"/>
    <w:multiLevelType w:val="hybridMultilevel"/>
    <w:tmpl w:val="85381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D4C78"/>
    <w:multiLevelType w:val="hybridMultilevel"/>
    <w:tmpl w:val="BEDC8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04A9C"/>
    <w:multiLevelType w:val="multilevel"/>
    <w:tmpl w:val="355ED548"/>
    <w:styleLink w:val="Styl1"/>
    <w:lvl w:ilvl="0">
      <w:start w:val="1"/>
      <w:numFmt w:val="none"/>
      <w:lvlText w:val="1"/>
      <w:lvlJc w:val="right"/>
      <w:pPr>
        <w:ind w:left="1942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2662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33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1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02" w:hanging="180"/>
      </w:pPr>
      <w:rPr>
        <w:rFonts w:hint="default"/>
      </w:rPr>
    </w:lvl>
  </w:abstractNum>
  <w:abstractNum w:abstractNumId="15" w15:restartNumberingAfterBreak="0">
    <w:nsid w:val="4BC0515A"/>
    <w:multiLevelType w:val="hybridMultilevel"/>
    <w:tmpl w:val="A9500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21308"/>
    <w:multiLevelType w:val="hybridMultilevel"/>
    <w:tmpl w:val="A732B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50030"/>
    <w:multiLevelType w:val="hybridMultilevel"/>
    <w:tmpl w:val="673E2B58"/>
    <w:name w:val="WW8Num384"/>
    <w:lvl w:ilvl="0" w:tplc="EA56AC5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314878"/>
    <w:multiLevelType w:val="hybridMultilevel"/>
    <w:tmpl w:val="98069352"/>
    <w:lvl w:ilvl="0" w:tplc="EA5A13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646AC"/>
    <w:multiLevelType w:val="hybridMultilevel"/>
    <w:tmpl w:val="AC4EC534"/>
    <w:lvl w:ilvl="0" w:tplc="D554B8D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1E649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2" w15:restartNumberingAfterBreak="0">
    <w:nsid w:val="6D831A58"/>
    <w:multiLevelType w:val="hybridMultilevel"/>
    <w:tmpl w:val="98069352"/>
    <w:lvl w:ilvl="0" w:tplc="EA5A13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0"/>
  </w:num>
  <w:num w:numId="4">
    <w:abstractNumId w:val="6"/>
  </w:num>
  <w:num w:numId="5">
    <w:abstractNumId w:val="2"/>
  </w:num>
  <w:num w:numId="6">
    <w:abstractNumId w:val="9"/>
  </w:num>
  <w:num w:numId="7">
    <w:abstractNumId w:val="1"/>
  </w:num>
  <w:num w:numId="8">
    <w:abstractNumId w:val="10"/>
  </w:num>
  <w:num w:numId="9">
    <w:abstractNumId w:val="16"/>
  </w:num>
  <w:num w:numId="10">
    <w:abstractNumId w:val="8"/>
  </w:num>
  <w:num w:numId="11">
    <w:abstractNumId w:val="12"/>
  </w:num>
  <w:num w:numId="12">
    <w:abstractNumId w:val="7"/>
  </w:num>
  <w:num w:numId="13">
    <w:abstractNumId w:val="15"/>
  </w:num>
  <w:num w:numId="14">
    <w:abstractNumId w:val="3"/>
  </w:num>
  <w:num w:numId="15">
    <w:abstractNumId w:val="13"/>
  </w:num>
  <w:num w:numId="16">
    <w:abstractNumId w:val="22"/>
  </w:num>
  <w:num w:numId="17">
    <w:abstractNumId w:val="20"/>
  </w:num>
  <w:num w:numId="18">
    <w:abstractNumId w:val="19"/>
  </w:num>
  <w:num w:numId="19">
    <w:abstractNumId w:val="11"/>
    <w:lvlOverride w:ilvl="0">
      <w:startOverride w:val="1"/>
    </w:lvlOverride>
  </w:num>
  <w:num w:numId="20">
    <w:abstractNumId w:val="21"/>
    <w:lvlOverride w:ilvl="0">
      <w:startOverride w:val="1"/>
    </w:lvlOverride>
  </w:num>
  <w:num w:numId="21">
    <w:abstractNumId w:val="5"/>
  </w:num>
  <w:num w:numId="22">
    <w:abstractNumId w:val="1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48"/>
    <w:rsid w:val="001D0987"/>
    <w:rsid w:val="002836AE"/>
    <w:rsid w:val="0031742E"/>
    <w:rsid w:val="00342ABF"/>
    <w:rsid w:val="004727AB"/>
    <w:rsid w:val="00510B48"/>
    <w:rsid w:val="00545F61"/>
    <w:rsid w:val="00555FD3"/>
    <w:rsid w:val="00572D59"/>
    <w:rsid w:val="005F72C7"/>
    <w:rsid w:val="006300EB"/>
    <w:rsid w:val="006D025E"/>
    <w:rsid w:val="00723DF8"/>
    <w:rsid w:val="007C6949"/>
    <w:rsid w:val="00813AC2"/>
    <w:rsid w:val="00850C36"/>
    <w:rsid w:val="00884D96"/>
    <w:rsid w:val="00893E0B"/>
    <w:rsid w:val="008E64A8"/>
    <w:rsid w:val="00964748"/>
    <w:rsid w:val="00AC00A8"/>
    <w:rsid w:val="00AD5220"/>
    <w:rsid w:val="00C97CF7"/>
    <w:rsid w:val="00CB623B"/>
    <w:rsid w:val="00E805E5"/>
    <w:rsid w:val="00EF0579"/>
    <w:rsid w:val="00F4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4A0BD-8E00-437E-8A54-5510DA8D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B48"/>
    <w:pPr>
      <w:widowControl w:val="0"/>
      <w:autoSpaceDE w:val="0"/>
      <w:autoSpaceDN w:val="0"/>
      <w:adjustRightInd w:val="0"/>
      <w:spacing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342ABF"/>
    <w:pPr>
      <w:numPr>
        <w:numId w:val="1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6D025E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D02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D025E"/>
    <w:pPr>
      <w:ind w:left="720"/>
      <w:contextualSpacing/>
    </w:pPr>
  </w:style>
  <w:style w:type="character" w:styleId="Hipercze">
    <w:name w:val="Hyperlink"/>
    <w:basedOn w:val="Domylnaczcionkaakapitu"/>
    <w:rsid w:val="00AD5220"/>
    <w:rPr>
      <w:color w:val="0000FF"/>
      <w:u w:val="single"/>
    </w:rPr>
  </w:style>
  <w:style w:type="paragraph" w:customStyle="1" w:styleId="Styl2">
    <w:name w:val="Styl2"/>
    <w:basedOn w:val="Listanumerowana"/>
    <w:rsid w:val="00893E0B"/>
    <w:pPr>
      <w:numPr>
        <w:numId w:val="0"/>
      </w:numPr>
      <w:autoSpaceDE/>
      <w:autoSpaceDN/>
      <w:adjustRightInd/>
      <w:ind w:left="113" w:right="57"/>
      <w:contextualSpacing w:val="0"/>
      <w:jc w:val="both"/>
    </w:pPr>
    <w:rPr>
      <w:rFonts w:ascii="Arial Narrow" w:hAnsi="Arial Narrow"/>
      <w:i/>
      <w:snapToGrid w:val="0"/>
      <w:sz w:val="22"/>
    </w:rPr>
  </w:style>
  <w:style w:type="paragraph" w:styleId="Listanumerowana">
    <w:name w:val="List Number"/>
    <w:basedOn w:val="Normalny"/>
    <w:uiPriority w:val="99"/>
    <w:semiHidden/>
    <w:unhideWhenUsed/>
    <w:rsid w:val="00893E0B"/>
    <w:pPr>
      <w:numPr>
        <w:numId w:val="5"/>
      </w:numPr>
      <w:contextualSpacing/>
    </w:pPr>
  </w:style>
  <w:style w:type="character" w:styleId="Pogrubienie">
    <w:name w:val="Strong"/>
    <w:basedOn w:val="Domylnaczcionkaakapitu"/>
    <w:uiPriority w:val="22"/>
    <w:qFormat/>
    <w:rsid w:val="002836AE"/>
    <w:rPr>
      <w:b/>
      <w:bCs/>
    </w:rPr>
  </w:style>
  <w:style w:type="table" w:styleId="Tabela-Siatka">
    <w:name w:val="Table Grid"/>
    <w:basedOn w:val="Standardowy"/>
    <w:uiPriority w:val="39"/>
    <w:rsid w:val="00545F61"/>
    <w:pPr>
      <w:spacing w:after="0" w:afterAutospacing="0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545F6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4</Pages>
  <Words>1090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jsomla</dc:creator>
  <cp:lastModifiedBy>Patryk Kowalewski</cp:lastModifiedBy>
  <cp:revision>14</cp:revision>
  <dcterms:created xsi:type="dcterms:W3CDTF">2020-11-12T13:18:00Z</dcterms:created>
  <dcterms:modified xsi:type="dcterms:W3CDTF">2020-11-19T14:27:00Z</dcterms:modified>
</cp:coreProperties>
</file>