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B22" w:rsidRDefault="002463BD" w:rsidP="009A2B22">
      <w:pPr>
        <w:pStyle w:val="Nagwek"/>
        <w:jc w:val="right"/>
      </w:pPr>
      <w:r>
        <w:t>Zał. nr 2 do z</w:t>
      </w:r>
      <w:r w:rsidR="003533B8">
        <w:t>aproszenia</w:t>
      </w:r>
    </w:p>
    <w:p w:rsidR="00F274F3" w:rsidRDefault="001C339B" w:rsidP="009A2B22">
      <w:pPr>
        <w:pStyle w:val="Nagwek"/>
        <w:jc w:val="right"/>
      </w:pPr>
      <w:r>
        <w:t>Nr GI-TOPO.2611.3.</w:t>
      </w:r>
      <w:r w:rsidR="00F274F3">
        <w:t>2016</w:t>
      </w:r>
    </w:p>
    <w:p w:rsidR="009A2B22" w:rsidRDefault="009A2B22" w:rsidP="00A716A3">
      <w:pPr>
        <w:shd w:val="clear" w:color="auto" w:fill="FFFFFF"/>
        <w:jc w:val="both"/>
      </w:pPr>
    </w:p>
    <w:p w:rsidR="009A2B22" w:rsidRPr="0032330C" w:rsidRDefault="009A2B22" w:rsidP="009A2B22">
      <w:pPr>
        <w:shd w:val="clear" w:color="auto" w:fill="FFFFFF"/>
        <w:ind w:left="360"/>
        <w:jc w:val="both"/>
      </w:pPr>
    </w:p>
    <w:p w:rsidR="00F274F3" w:rsidRDefault="00F274F3" w:rsidP="00F274F3">
      <w:pPr>
        <w:jc w:val="center"/>
        <w:rPr>
          <w:b/>
        </w:rPr>
      </w:pPr>
      <w:r>
        <w:rPr>
          <w:b/>
        </w:rPr>
        <w:t xml:space="preserve">Warunki techniczne </w:t>
      </w:r>
      <w:r w:rsidR="009A2B22" w:rsidRPr="0032330C">
        <w:rPr>
          <w:b/>
        </w:rPr>
        <w:t xml:space="preserve">na </w:t>
      </w:r>
    </w:p>
    <w:p w:rsidR="009A2B22" w:rsidRPr="00A716A3" w:rsidRDefault="009A2B22" w:rsidP="00F274F3">
      <w:pPr>
        <w:jc w:val="center"/>
      </w:pPr>
      <w:r w:rsidRPr="00A716A3">
        <w:t xml:space="preserve">opracowanie merytoryczne </w:t>
      </w:r>
      <w:r w:rsidR="00597689" w:rsidRPr="00A716A3">
        <w:t xml:space="preserve">zasad </w:t>
      </w:r>
      <w:r w:rsidRPr="00A716A3">
        <w:t xml:space="preserve">transkrypcji </w:t>
      </w:r>
      <w:r w:rsidR="00597689" w:rsidRPr="00A716A3">
        <w:t xml:space="preserve">i transliteracji </w:t>
      </w:r>
      <w:r w:rsidRPr="00A716A3">
        <w:t>nazw geograficznych</w:t>
      </w:r>
      <w:r w:rsidR="00A451D5" w:rsidRPr="00A716A3">
        <w:t xml:space="preserve"> dla języków: tybetańskiego i </w:t>
      </w:r>
      <w:proofErr w:type="spellStart"/>
      <w:r w:rsidR="00A451D5" w:rsidRPr="00A716A3">
        <w:t>dzongkha</w:t>
      </w:r>
      <w:proofErr w:type="spellEnd"/>
    </w:p>
    <w:p w:rsidR="009A2B22" w:rsidRPr="009A2B22" w:rsidRDefault="009A2B22" w:rsidP="009A2B22">
      <w:pPr>
        <w:spacing w:after="120"/>
        <w:jc w:val="both"/>
      </w:pPr>
    </w:p>
    <w:p w:rsidR="009A2B22" w:rsidRPr="0032330C" w:rsidRDefault="009A2B22" w:rsidP="009A2B22">
      <w:pPr>
        <w:jc w:val="both"/>
      </w:pPr>
    </w:p>
    <w:p w:rsidR="009A2B22" w:rsidRDefault="009A2B22" w:rsidP="009A2B22">
      <w:pPr>
        <w:numPr>
          <w:ilvl w:val="0"/>
          <w:numId w:val="3"/>
        </w:numPr>
        <w:spacing w:after="120"/>
        <w:ind w:left="284" w:hanging="284"/>
        <w:jc w:val="both"/>
        <w:rPr>
          <w:b/>
          <w:bCs/>
        </w:rPr>
      </w:pPr>
      <w:r w:rsidRPr="0032330C">
        <w:rPr>
          <w:b/>
          <w:bCs/>
        </w:rPr>
        <w:t>Sposób opracowania zasad</w:t>
      </w:r>
    </w:p>
    <w:p w:rsidR="00F274F3" w:rsidRPr="00F274F3" w:rsidRDefault="00F274F3" w:rsidP="00F274F3">
      <w:pPr>
        <w:pStyle w:val="Akapitzlist"/>
        <w:numPr>
          <w:ilvl w:val="0"/>
          <w:numId w:val="4"/>
        </w:numPr>
        <w:spacing w:after="120"/>
        <w:ind w:left="714" w:hanging="357"/>
        <w:contextualSpacing w:val="0"/>
        <w:jc w:val="both"/>
      </w:pPr>
      <w:r w:rsidRPr="0032330C">
        <w:t xml:space="preserve">Zasady należy poprzedzić krótkim wstępem, w którym podane zostaną podstawowe informacje o </w:t>
      </w:r>
      <w:r w:rsidR="001C339B">
        <w:t xml:space="preserve">danym </w:t>
      </w:r>
      <w:r w:rsidRPr="0032330C">
        <w:t xml:space="preserve">języku, </w:t>
      </w:r>
      <w:r>
        <w:t xml:space="preserve">zasadach pisowni, </w:t>
      </w:r>
      <w:r w:rsidRPr="0032330C">
        <w:t>stosowanym systemie pisma oraz zasadach transkrypcji i tran</w:t>
      </w:r>
      <w:r>
        <w:t>sliteracji.</w:t>
      </w:r>
    </w:p>
    <w:p w:rsidR="009A2B22" w:rsidRPr="00D6108E" w:rsidRDefault="009A2B22" w:rsidP="009A2B22">
      <w:pPr>
        <w:numPr>
          <w:ilvl w:val="0"/>
          <w:numId w:val="4"/>
        </w:numPr>
        <w:spacing w:after="120"/>
        <w:ind w:left="714" w:hanging="357"/>
        <w:jc w:val="both"/>
        <w:rPr>
          <w:b/>
          <w:bCs/>
        </w:rPr>
      </w:pPr>
      <w:r w:rsidRPr="0032330C">
        <w:t>Zasady należy opracować w postaci tabeli, w której w pierwszej kolumnie podane są litery oryginalnego pisma, w drugiej ich transliteracja (ew. międzynarodowy system latynizacji), w trzeciej</w:t>
      </w:r>
      <w:r>
        <w:t xml:space="preserve"> polska transkrypcja fonetyczna.</w:t>
      </w:r>
    </w:p>
    <w:p w:rsidR="009A2B22" w:rsidRPr="0032330C" w:rsidRDefault="009A2B22" w:rsidP="009A2B22">
      <w:pPr>
        <w:numPr>
          <w:ilvl w:val="0"/>
          <w:numId w:val="4"/>
        </w:numPr>
        <w:spacing w:after="120"/>
        <w:ind w:left="714" w:hanging="357"/>
        <w:jc w:val="both"/>
      </w:pPr>
      <w:r w:rsidRPr="0032330C">
        <w:t xml:space="preserve">W przypadku, gdy litera w piśmie oryginalnym ma różne postacie graficzne (np. ze względu na pozycje w wyrazie, jak ma to miejsce </w:t>
      </w:r>
      <w:r>
        <w:t xml:space="preserve">np. </w:t>
      </w:r>
      <w:r w:rsidRPr="0032330C">
        <w:t xml:space="preserve">w piśmie arabskim), należy je wszystkie </w:t>
      </w:r>
      <w:r>
        <w:t>uwzględnić.</w:t>
      </w:r>
      <w:r w:rsidRPr="0032330C">
        <w:t xml:space="preserve"> </w:t>
      </w:r>
    </w:p>
    <w:p w:rsidR="009A2B22" w:rsidRPr="0032330C" w:rsidRDefault="009A2B22" w:rsidP="009A2B22">
      <w:pPr>
        <w:numPr>
          <w:ilvl w:val="0"/>
          <w:numId w:val="4"/>
        </w:numPr>
        <w:spacing w:after="120"/>
        <w:ind w:left="714" w:hanging="357"/>
        <w:jc w:val="both"/>
      </w:pPr>
      <w:r w:rsidRPr="0032330C">
        <w:t>Jeżeli jedna litera może być transliterowana lub transkrybowana na różne sposoby, należy w przypisie wyjaśnić dokładnie w jakich sytuacjach stosowany jes</w:t>
      </w:r>
      <w:r>
        <w:t>t dany zapis</w:t>
      </w:r>
      <w:r w:rsidRPr="0032330C">
        <w:t>.</w:t>
      </w:r>
    </w:p>
    <w:p w:rsidR="009A2B22" w:rsidRPr="009E0BAD" w:rsidRDefault="009A2B22" w:rsidP="009A2B22">
      <w:pPr>
        <w:numPr>
          <w:ilvl w:val="0"/>
          <w:numId w:val="4"/>
        </w:numPr>
        <w:spacing w:after="120"/>
        <w:ind w:left="714" w:hanging="357"/>
        <w:jc w:val="both"/>
        <w:rPr>
          <w:b/>
          <w:bCs/>
        </w:rPr>
      </w:pPr>
      <w:r w:rsidRPr="0032330C">
        <w:t>W tabeli należy uwzględnić także chara</w:t>
      </w:r>
      <w:r>
        <w:t xml:space="preserve">kterystyczne połączenia liter np. </w:t>
      </w:r>
      <w:r w:rsidRPr="0032330C">
        <w:t>dw</w:t>
      </w:r>
      <w:r>
        <w:t xml:space="preserve">uznaki </w:t>
      </w:r>
      <w:r>
        <w:br/>
        <w:t>i inne.</w:t>
      </w:r>
    </w:p>
    <w:p w:rsidR="009A2B22" w:rsidRDefault="009A2B22" w:rsidP="009A2B22">
      <w:pPr>
        <w:numPr>
          <w:ilvl w:val="0"/>
          <w:numId w:val="4"/>
        </w:numPr>
        <w:spacing w:after="120"/>
        <w:ind w:left="714" w:hanging="357"/>
        <w:jc w:val="both"/>
      </w:pPr>
      <w:r>
        <w:t xml:space="preserve">W tabeli powinny być wymienione wszystkie litery/znaki stosowane nie tylko </w:t>
      </w:r>
      <w:r>
        <w:br/>
        <w:t>w nazwach geograficznych, wraz z opisaniem wszelkich odstępstw i wariantów w ich latynizacji (transkrypcji i transliteracji), o ile istnieją.</w:t>
      </w:r>
    </w:p>
    <w:p w:rsidR="009A2B22" w:rsidRDefault="009A2B22" w:rsidP="009A2B22">
      <w:pPr>
        <w:numPr>
          <w:ilvl w:val="0"/>
          <w:numId w:val="4"/>
        </w:numPr>
        <w:spacing w:after="120"/>
        <w:ind w:left="714" w:hanging="357"/>
        <w:jc w:val="both"/>
      </w:pPr>
      <w:r>
        <w:t xml:space="preserve">Ponadto powinny być opisane zasady stosowania wielkich </w:t>
      </w:r>
      <w:r w:rsidR="00B04DBD">
        <w:t xml:space="preserve">i małych </w:t>
      </w:r>
      <w:r>
        <w:t>liter w latynizacji.</w:t>
      </w:r>
    </w:p>
    <w:p w:rsidR="00F274F3" w:rsidRDefault="00F274F3" w:rsidP="00F274F3">
      <w:pPr>
        <w:numPr>
          <w:ilvl w:val="0"/>
          <w:numId w:val="4"/>
        </w:numPr>
        <w:spacing w:after="120"/>
        <w:jc w:val="both"/>
      </w:pPr>
      <w:r>
        <w:t>Zasady transkrypcji i transliteracji należy</w:t>
      </w:r>
      <w:r w:rsidR="001C339B">
        <w:t xml:space="preserve"> opracować na podstawie zasad </w:t>
      </w:r>
      <w:r>
        <w:t xml:space="preserve">stosowanych przez Komisję Standaryzacji Nazw Geograficznych poza Granicami Rzeczypospolitej Polskiej przy Głównym Geodecie Kraju, dostępnych na stronie internetowej Komisji </w:t>
      </w:r>
      <w:hyperlink r:id="rId7" w:history="1">
        <w:r w:rsidRPr="0056421F">
          <w:rPr>
            <w:rStyle w:val="Hipercze"/>
          </w:rPr>
          <w:t>http://ksng.gugik.gov.pl/latynizacja.php</w:t>
        </w:r>
      </w:hyperlink>
      <w:r>
        <w:t xml:space="preserve">. </w:t>
      </w:r>
    </w:p>
    <w:p w:rsidR="00F274F3" w:rsidRDefault="00F274F3" w:rsidP="00F274F3">
      <w:pPr>
        <w:pStyle w:val="Akapitzlist"/>
        <w:numPr>
          <w:ilvl w:val="0"/>
          <w:numId w:val="4"/>
        </w:numPr>
        <w:jc w:val="both"/>
      </w:pPr>
      <w:r>
        <w:t>Każda ewentualna zmiana zastosowanego systemu transliteracji i transkrypcji powinna zostać uzasadniona, a w tabeli podać zarówno dotychczas stosowaną transkrypcję, jak i proponowaną.</w:t>
      </w:r>
    </w:p>
    <w:p w:rsidR="009A2B22" w:rsidRPr="0032330C" w:rsidRDefault="009A2B22" w:rsidP="009A2B22">
      <w:pPr>
        <w:jc w:val="both"/>
      </w:pPr>
    </w:p>
    <w:p w:rsidR="009A2B22" w:rsidRPr="0032330C" w:rsidRDefault="009A2B22" w:rsidP="00A716A3">
      <w:pPr>
        <w:spacing w:after="120"/>
        <w:jc w:val="both"/>
        <w:rPr>
          <w:b/>
          <w:bCs/>
        </w:rPr>
      </w:pPr>
      <w:r>
        <w:rPr>
          <w:b/>
          <w:bCs/>
        </w:rPr>
        <w:t>2. Uwagi szczegółowe</w:t>
      </w:r>
    </w:p>
    <w:p w:rsidR="00A451D5" w:rsidRDefault="009A2B22" w:rsidP="009A2B22">
      <w:pPr>
        <w:jc w:val="both"/>
      </w:pPr>
      <w:r>
        <w:t>Zasady transkrypcji i transliteracji należ</w:t>
      </w:r>
      <w:r w:rsidR="001C339B">
        <w:t xml:space="preserve">y opracować na podstawie zasad </w:t>
      </w:r>
      <w:r>
        <w:t>stosowanych przez Komisję Standaryzacji Nazw Geograficznych poza Granicami Rzeczypospolitej Polskiej</w:t>
      </w:r>
      <w:r w:rsidR="004459D2">
        <w:t xml:space="preserve"> przy Głównym Geodecie Kraju</w:t>
      </w:r>
      <w:r>
        <w:t>, dostępnych na stronie internetowej Komisji</w:t>
      </w:r>
      <w:r w:rsidR="00B04DBD">
        <w:t xml:space="preserve"> pod adresem</w:t>
      </w:r>
      <w:r>
        <w:t xml:space="preserve">: </w:t>
      </w:r>
      <w:hyperlink r:id="rId8" w:history="1">
        <w:r w:rsidRPr="0056421F">
          <w:rPr>
            <w:rStyle w:val="Hipercze"/>
          </w:rPr>
          <w:t>http://ksng.gugik.gov.pl/latynizacja.php</w:t>
        </w:r>
      </w:hyperlink>
      <w:r w:rsidR="00BF461B">
        <w:t xml:space="preserve">. </w:t>
      </w:r>
    </w:p>
    <w:p w:rsidR="00A451D5" w:rsidRDefault="00A451D5" w:rsidP="009A2B22">
      <w:pPr>
        <w:jc w:val="both"/>
      </w:pPr>
    </w:p>
    <w:p w:rsidR="00F274F3" w:rsidRDefault="00BF461B" w:rsidP="001C4784">
      <w:pPr>
        <w:spacing w:after="120"/>
        <w:jc w:val="both"/>
      </w:pPr>
      <w:r>
        <w:t>Dla</w:t>
      </w:r>
      <w:r w:rsidR="00A451D5">
        <w:t xml:space="preserve"> języka tybetańskiego</w:t>
      </w:r>
      <w:r>
        <w:t xml:space="preserve"> jest to</w:t>
      </w:r>
      <w:r w:rsidR="00B04DBD">
        <w:t>:</w:t>
      </w:r>
    </w:p>
    <w:p w:rsidR="00F274F3" w:rsidRDefault="00A451D5" w:rsidP="00F274F3">
      <w:pPr>
        <w:pStyle w:val="Akapitzlist"/>
        <w:numPr>
          <w:ilvl w:val="0"/>
          <w:numId w:val="10"/>
        </w:numPr>
        <w:tabs>
          <w:tab w:val="num" w:pos="426"/>
        </w:tabs>
        <w:spacing w:after="120"/>
        <w:jc w:val="both"/>
      </w:pPr>
      <w:r>
        <w:t xml:space="preserve">chiński system fonetyczny </w:t>
      </w:r>
      <w:proofErr w:type="spellStart"/>
      <w:r>
        <w:t>pinyin</w:t>
      </w:r>
      <w:proofErr w:type="spellEnd"/>
      <w:r>
        <w:t xml:space="preserve"> dla języka tybetańskiego (</w:t>
      </w:r>
      <w:proofErr w:type="spellStart"/>
      <w:r>
        <w:t>Zàngwén</w:t>
      </w:r>
      <w:proofErr w:type="spellEnd"/>
      <w:r>
        <w:t xml:space="preserve"> </w:t>
      </w:r>
      <w:proofErr w:type="spellStart"/>
      <w:r>
        <w:t>Pīnyīn</w:t>
      </w:r>
      <w:proofErr w:type="spellEnd"/>
      <w:r>
        <w:t xml:space="preserve">) zalecony przez ONZ oraz system </w:t>
      </w:r>
      <w:proofErr w:type="spellStart"/>
      <w:r>
        <w:t>Wylie’a</w:t>
      </w:r>
      <w:proofErr w:type="spellEnd"/>
      <w:r>
        <w:t xml:space="preserve"> z 1959 r. </w:t>
      </w:r>
    </w:p>
    <w:p w:rsidR="00A451D5" w:rsidRDefault="00A451D5" w:rsidP="00A716A3">
      <w:pPr>
        <w:spacing w:after="120"/>
        <w:jc w:val="both"/>
      </w:pPr>
      <w:r>
        <w:t xml:space="preserve">Dla języka </w:t>
      </w:r>
      <w:proofErr w:type="spellStart"/>
      <w:r>
        <w:t>dzongkha</w:t>
      </w:r>
      <w:proofErr w:type="spellEnd"/>
      <w:r w:rsidR="001C4784">
        <w:t xml:space="preserve"> jest to</w:t>
      </w:r>
      <w:r>
        <w:t>:</w:t>
      </w:r>
    </w:p>
    <w:p w:rsidR="00A451D5" w:rsidRDefault="00A451D5" w:rsidP="00A451D5">
      <w:pPr>
        <w:pStyle w:val="Akapitzlist"/>
        <w:numPr>
          <w:ilvl w:val="0"/>
          <w:numId w:val="10"/>
        </w:numPr>
        <w:spacing w:after="120"/>
        <w:jc w:val="both"/>
      </w:pPr>
      <w:r>
        <w:t xml:space="preserve">oficjalny bhutański system Roman </w:t>
      </w:r>
      <w:proofErr w:type="spellStart"/>
      <w:r>
        <w:t>Dzongkha</w:t>
      </w:r>
      <w:proofErr w:type="spellEnd"/>
      <w:r>
        <w:t xml:space="preserve"> 1994 oraz transkrypcja polska</w:t>
      </w:r>
      <w:r w:rsidR="001C4784">
        <w:t>.</w:t>
      </w:r>
    </w:p>
    <w:p w:rsidR="009A2B22" w:rsidRPr="0032330C" w:rsidRDefault="009A2B22" w:rsidP="009A2B22">
      <w:pPr>
        <w:jc w:val="both"/>
      </w:pPr>
    </w:p>
    <w:p w:rsidR="009A2B22" w:rsidRPr="0032330C" w:rsidRDefault="009A2B22" w:rsidP="00A716A3">
      <w:pPr>
        <w:spacing w:after="120"/>
        <w:jc w:val="both"/>
        <w:rPr>
          <w:b/>
          <w:bCs/>
        </w:rPr>
      </w:pPr>
      <w:r>
        <w:rPr>
          <w:b/>
          <w:bCs/>
        </w:rPr>
        <w:t>3. Przekazanie opracowania</w:t>
      </w:r>
    </w:p>
    <w:p w:rsidR="009A2B22" w:rsidRPr="0032330C" w:rsidRDefault="009A2B22" w:rsidP="009A2B22">
      <w:pPr>
        <w:spacing w:after="120"/>
        <w:jc w:val="both"/>
      </w:pPr>
      <w:r w:rsidRPr="0032330C">
        <w:t xml:space="preserve">Opracowane zasady transliteracji i transkrypcji nazw geograficznych </w:t>
      </w:r>
      <w:r w:rsidR="001C339B">
        <w:t xml:space="preserve">dla danego języka </w:t>
      </w:r>
      <w:r w:rsidRPr="0032330C">
        <w:t xml:space="preserve">powinny zostać przekazane </w:t>
      </w:r>
      <w:r w:rsidR="00597689">
        <w:t xml:space="preserve">Zamawiającemu </w:t>
      </w:r>
      <w:r w:rsidRPr="0032330C">
        <w:t>w postaci:</w:t>
      </w:r>
    </w:p>
    <w:p w:rsidR="009A2B22" w:rsidRPr="0032330C" w:rsidRDefault="009A2B22" w:rsidP="00F274F3">
      <w:pPr>
        <w:numPr>
          <w:ilvl w:val="0"/>
          <w:numId w:val="2"/>
        </w:numPr>
        <w:spacing w:line="276" w:lineRule="auto"/>
        <w:jc w:val="both"/>
      </w:pPr>
      <w:r>
        <w:t>wydruku (1 egz.</w:t>
      </w:r>
      <w:r w:rsidRPr="0032330C">
        <w:t xml:space="preserve">) </w:t>
      </w:r>
    </w:p>
    <w:p w:rsidR="009A2B22" w:rsidRPr="0032330C" w:rsidRDefault="009A2B22" w:rsidP="00F274F3">
      <w:pPr>
        <w:numPr>
          <w:ilvl w:val="0"/>
          <w:numId w:val="2"/>
        </w:numPr>
        <w:spacing w:line="276" w:lineRule="auto"/>
        <w:jc w:val="both"/>
      </w:pPr>
      <w:r w:rsidRPr="0032330C">
        <w:t>zapisu w dokumencie tekstowym programu MS Word</w:t>
      </w:r>
      <w:r>
        <w:t>,</w:t>
      </w:r>
    </w:p>
    <w:p w:rsidR="009A2B22" w:rsidRPr="0032330C" w:rsidRDefault="009A2B22" w:rsidP="00F274F3">
      <w:pPr>
        <w:numPr>
          <w:ilvl w:val="0"/>
          <w:numId w:val="2"/>
        </w:numPr>
        <w:spacing w:line="276" w:lineRule="auto"/>
        <w:jc w:val="both"/>
      </w:pPr>
      <w:r w:rsidRPr="0032330C">
        <w:t>zapi</w:t>
      </w:r>
      <w:r>
        <w:t>su w dokumencie w formacie PDF,</w:t>
      </w:r>
    </w:p>
    <w:p w:rsidR="009A2B22" w:rsidRDefault="009A2B22" w:rsidP="00F274F3">
      <w:pPr>
        <w:numPr>
          <w:ilvl w:val="0"/>
          <w:numId w:val="2"/>
        </w:numPr>
        <w:spacing w:line="276" w:lineRule="auto"/>
        <w:jc w:val="both"/>
      </w:pPr>
      <w:r w:rsidRPr="0032330C">
        <w:t>w przypadku użycia niestandardowych liter (występujących w piśmie oryginalnym lub użytych do zapisu w transliteracji) należy dołączyć plik z danym fontem.</w:t>
      </w:r>
    </w:p>
    <w:p w:rsidR="009A2B22" w:rsidRDefault="009A2B22" w:rsidP="009A2B22">
      <w:pPr>
        <w:jc w:val="both"/>
      </w:pPr>
    </w:p>
    <w:p w:rsidR="009A2B22" w:rsidRPr="00A716A3" w:rsidRDefault="009A2B22" w:rsidP="00A716A3">
      <w:pPr>
        <w:spacing w:after="120"/>
        <w:jc w:val="both"/>
        <w:rPr>
          <w:b/>
        </w:rPr>
      </w:pPr>
      <w:r w:rsidRPr="00552039">
        <w:rPr>
          <w:b/>
        </w:rPr>
        <w:t xml:space="preserve">4. </w:t>
      </w:r>
      <w:r w:rsidR="00F274F3">
        <w:rPr>
          <w:b/>
        </w:rPr>
        <w:t>Inne</w:t>
      </w:r>
    </w:p>
    <w:p w:rsidR="00F274F3" w:rsidRDefault="00F274F3" w:rsidP="00F274F3">
      <w:pPr>
        <w:jc w:val="both"/>
      </w:pPr>
      <w:r>
        <w:t xml:space="preserve">Wzorcowymi przykładami wykonania zasad latynizacji nazw geograficznych są opracowane </w:t>
      </w:r>
      <w:r>
        <w:br/>
        <w:t>i dostępne na stronie internetowej Komisji Standaryzacji Nazw Geograficznych poza Granicami Rzeczypospolitej Polskiej poniższe opracowania:</w:t>
      </w:r>
    </w:p>
    <w:p w:rsidR="00F274F3" w:rsidRPr="0096061D" w:rsidRDefault="00F274F3" w:rsidP="00F274F3">
      <w:pPr>
        <w:jc w:val="both"/>
        <w:rPr>
          <w:b/>
        </w:rPr>
      </w:pPr>
    </w:p>
    <w:p w:rsidR="00F274F3" w:rsidRDefault="00F274F3" w:rsidP="00F274F3">
      <w:pPr>
        <w:numPr>
          <w:ilvl w:val="0"/>
          <w:numId w:val="5"/>
        </w:numPr>
        <w:spacing w:line="276" w:lineRule="auto"/>
        <w:jc w:val="both"/>
      </w:pPr>
      <w:r>
        <w:t xml:space="preserve">„Zasady latynizacji języka arabskiego”, dostępne na stronie internetowej KSNG </w:t>
      </w:r>
      <w:hyperlink r:id="rId9" w:history="1">
        <w:r w:rsidRPr="004546C4">
          <w:rPr>
            <w:rStyle w:val="Hipercze"/>
          </w:rPr>
          <w:t>http://ksng.gugik.gov.pl/pliki/latynizacja/arabski.pdf</w:t>
        </w:r>
      </w:hyperlink>
    </w:p>
    <w:p w:rsidR="00F274F3" w:rsidRDefault="00F274F3" w:rsidP="00F274F3">
      <w:pPr>
        <w:spacing w:line="276" w:lineRule="auto"/>
        <w:ind w:left="720"/>
        <w:jc w:val="both"/>
      </w:pPr>
    </w:p>
    <w:p w:rsidR="00F274F3" w:rsidRDefault="00F274F3" w:rsidP="00F274F3">
      <w:pPr>
        <w:numPr>
          <w:ilvl w:val="0"/>
          <w:numId w:val="5"/>
        </w:numPr>
        <w:spacing w:line="276" w:lineRule="auto"/>
        <w:jc w:val="both"/>
      </w:pPr>
      <w:r>
        <w:t xml:space="preserve">„Zasady latynizacji języka hebrajskiego”, dostępne na stronie internetowej KSNG </w:t>
      </w:r>
      <w:hyperlink r:id="rId10" w:history="1">
        <w:r w:rsidRPr="004546C4">
          <w:rPr>
            <w:rStyle w:val="Hipercze"/>
          </w:rPr>
          <w:t>http://ksng.gugik.gov.pl/pliki/latynizacja/hebrajski.pdf</w:t>
        </w:r>
      </w:hyperlink>
    </w:p>
    <w:p w:rsidR="00F274F3" w:rsidRDefault="00F274F3" w:rsidP="00F274F3">
      <w:pPr>
        <w:spacing w:line="276" w:lineRule="auto"/>
        <w:jc w:val="both"/>
      </w:pPr>
    </w:p>
    <w:p w:rsidR="00F274F3" w:rsidRDefault="00F274F3" w:rsidP="00F274F3">
      <w:pPr>
        <w:numPr>
          <w:ilvl w:val="0"/>
          <w:numId w:val="5"/>
        </w:numPr>
        <w:spacing w:line="276" w:lineRule="auto"/>
      </w:pPr>
      <w:r>
        <w:t xml:space="preserve">„Zasady latynizacji alfabetu łemkowskiego”, dostępne na stronie internetowej KSNG </w:t>
      </w:r>
      <w:hyperlink r:id="rId11" w:history="1">
        <w:r w:rsidRPr="004546C4">
          <w:rPr>
            <w:rStyle w:val="Hipercze"/>
          </w:rPr>
          <w:t>http://ksng.gugik.gov.pl/pliki/latynizacja/lemkowski.pdf</w:t>
        </w:r>
      </w:hyperlink>
    </w:p>
    <w:p w:rsidR="009A2B22" w:rsidRPr="001C3712" w:rsidRDefault="009A2B22" w:rsidP="009A2B22">
      <w:pPr>
        <w:jc w:val="both"/>
      </w:pPr>
    </w:p>
    <w:p w:rsidR="00B2115D" w:rsidRDefault="00B2115D"/>
    <w:sectPr w:rsidR="00B2115D" w:rsidSect="00F274F3">
      <w:footerReference w:type="defaul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81D" w:rsidRDefault="00FE281D" w:rsidP="009A2B22">
      <w:r>
        <w:separator/>
      </w:r>
    </w:p>
  </w:endnote>
  <w:endnote w:type="continuationSeparator" w:id="0">
    <w:p w:rsidR="00FE281D" w:rsidRDefault="00FE281D" w:rsidP="009A2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83889"/>
      <w:docPartObj>
        <w:docPartGallery w:val="Page Numbers (Bottom of Page)"/>
        <w:docPartUnique/>
      </w:docPartObj>
    </w:sdtPr>
    <w:sdtContent>
      <w:p w:rsidR="009A2B22" w:rsidRDefault="00EC08EE">
        <w:pPr>
          <w:pStyle w:val="Stopka"/>
          <w:jc w:val="right"/>
        </w:pPr>
        <w:fldSimple w:instr=" PAGE   \* MERGEFORMAT ">
          <w:r w:rsidR="002463BD">
            <w:rPr>
              <w:noProof/>
            </w:rPr>
            <w:t>2</w:t>
          </w:r>
        </w:fldSimple>
      </w:p>
    </w:sdtContent>
  </w:sdt>
  <w:p w:rsidR="009A2B22" w:rsidRDefault="009A2B2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81D" w:rsidRDefault="00FE281D" w:rsidP="009A2B22">
      <w:r>
        <w:separator/>
      </w:r>
    </w:p>
  </w:footnote>
  <w:footnote w:type="continuationSeparator" w:id="0">
    <w:p w:rsidR="00FE281D" w:rsidRDefault="00FE281D" w:rsidP="009A2B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5C40"/>
    <w:multiLevelType w:val="hybridMultilevel"/>
    <w:tmpl w:val="84D081A0"/>
    <w:lvl w:ilvl="0" w:tplc="9AD465CA">
      <w:start w:val="1"/>
      <w:numFmt w:val="decimal"/>
      <w:lvlText w:val="pkt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2B06B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A93390"/>
    <w:multiLevelType w:val="hybridMultilevel"/>
    <w:tmpl w:val="67966542"/>
    <w:lvl w:ilvl="0" w:tplc="A0C2B99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81119"/>
    <w:multiLevelType w:val="hybridMultilevel"/>
    <w:tmpl w:val="DBA4D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67FFE"/>
    <w:multiLevelType w:val="hybridMultilevel"/>
    <w:tmpl w:val="E6307A2C"/>
    <w:lvl w:ilvl="0" w:tplc="4824198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6CE57E0"/>
    <w:multiLevelType w:val="hybridMultilevel"/>
    <w:tmpl w:val="EE2469F6"/>
    <w:lvl w:ilvl="0" w:tplc="A0C2B99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10BBB"/>
    <w:multiLevelType w:val="hybridMultilevel"/>
    <w:tmpl w:val="BDAE6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A877E7"/>
    <w:multiLevelType w:val="hybridMultilevel"/>
    <w:tmpl w:val="FDEA7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93445E"/>
    <w:multiLevelType w:val="hybridMultilevel"/>
    <w:tmpl w:val="0B8E9500"/>
    <w:lvl w:ilvl="0" w:tplc="F65CEA82">
      <w:start w:val="1"/>
      <w:numFmt w:val="lowerLetter"/>
      <w:lvlText w:val="%1)"/>
      <w:lvlJc w:val="left"/>
      <w:pPr>
        <w:tabs>
          <w:tab w:val="num" w:pos="1566"/>
        </w:tabs>
        <w:ind w:left="15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6EC127C0"/>
    <w:multiLevelType w:val="hybridMultilevel"/>
    <w:tmpl w:val="89DEB562"/>
    <w:lvl w:ilvl="0" w:tplc="EAB83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B56525"/>
    <w:multiLevelType w:val="hybridMultilevel"/>
    <w:tmpl w:val="67966542"/>
    <w:lvl w:ilvl="0" w:tplc="A0C2B99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9"/>
  </w:num>
  <w:num w:numId="5">
    <w:abstractNumId w:val="2"/>
  </w:num>
  <w:num w:numId="6">
    <w:abstractNumId w:val="7"/>
  </w:num>
  <w:num w:numId="7">
    <w:abstractNumId w:val="4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B22"/>
    <w:rsid w:val="000776B3"/>
    <w:rsid w:val="00107A51"/>
    <w:rsid w:val="001C339B"/>
    <w:rsid w:val="001C4784"/>
    <w:rsid w:val="002463BD"/>
    <w:rsid w:val="002950C9"/>
    <w:rsid w:val="003301C2"/>
    <w:rsid w:val="003533B8"/>
    <w:rsid w:val="003E2A0F"/>
    <w:rsid w:val="004459D2"/>
    <w:rsid w:val="004C6FC8"/>
    <w:rsid w:val="00597689"/>
    <w:rsid w:val="005C7B20"/>
    <w:rsid w:val="00606394"/>
    <w:rsid w:val="00655B21"/>
    <w:rsid w:val="00722704"/>
    <w:rsid w:val="007607DA"/>
    <w:rsid w:val="00981DB3"/>
    <w:rsid w:val="009A2B22"/>
    <w:rsid w:val="00A451D5"/>
    <w:rsid w:val="00A716A3"/>
    <w:rsid w:val="00B04DBD"/>
    <w:rsid w:val="00B2115D"/>
    <w:rsid w:val="00B92AA0"/>
    <w:rsid w:val="00BD6AA7"/>
    <w:rsid w:val="00BF461B"/>
    <w:rsid w:val="00C52547"/>
    <w:rsid w:val="00CC7740"/>
    <w:rsid w:val="00D449DD"/>
    <w:rsid w:val="00EC08EE"/>
    <w:rsid w:val="00F274F3"/>
    <w:rsid w:val="00FE2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B22"/>
    <w:pPr>
      <w:spacing w:after="0" w:line="240" w:lineRule="auto"/>
    </w:pPr>
    <w:rPr>
      <w:rFonts w:eastAsia="Times New Roman"/>
      <w:bCs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A2B22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9A2B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9A2B22"/>
    <w:rPr>
      <w:rFonts w:ascii="Courier New" w:eastAsia="Times New Roman" w:hAnsi="Courier New" w:cs="Courier New"/>
      <w:bCs w:val="0"/>
      <w:sz w:val="20"/>
      <w:szCs w:val="20"/>
      <w:lang w:val="en-US"/>
    </w:rPr>
  </w:style>
  <w:style w:type="paragraph" w:styleId="Nagwek">
    <w:name w:val="header"/>
    <w:basedOn w:val="Normalny"/>
    <w:link w:val="NagwekZnak"/>
    <w:rsid w:val="009A2B22"/>
    <w:pPr>
      <w:tabs>
        <w:tab w:val="center" w:pos="4703"/>
        <w:tab w:val="right" w:pos="9406"/>
      </w:tabs>
    </w:pPr>
    <w:rPr>
      <w:lang w:eastAsia="en-US"/>
    </w:rPr>
  </w:style>
  <w:style w:type="character" w:customStyle="1" w:styleId="NagwekZnak">
    <w:name w:val="Nagłówek Znak"/>
    <w:basedOn w:val="Domylnaczcionkaakapitu"/>
    <w:link w:val="Nagwek"/>
    <w:rsid w:val="009A2B22"/>
    <w:rPr>
      <w:rFonts w:eastAsia="Times New Roman"/>
      <w:bCs w:val="0"/>
    </w:rPr>
  </w:style>
  <w:style w:type="paragraph" w:styleId="Stopka">
    <w:name w:val="footer"/>
    <w:basedOn w:val="Normalny"/>
    <w:link w:val="StopkaZnak"/>
    <w:uiPriority w:val="99"/>
    <w:unhideWhenUsed/>
    <w:rsid w:val="009A2B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2B22"/>
    <w:rPr>
      <w:rFonts w:eastAsia="Times New Roman"/>
      <w:bCs w:val="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F461B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F274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ng.gugik.gov.pl/latynizacja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sng.gugik.gov.pl/latynizacja.php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sng.gugik.gov.pl/pliki/latynizacja/lemkowski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ksng.gugik.gov.pl/pliki/latynizacja/hebrajsk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sng.gugik.gov.pl/pliki/latynizacja/arabski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jkacprzak</dc:creator>
  <cp:lastModifiedBy>jkacprzak</cp:lastModifiedBy>
  <cp:revision>4</cp:revision>
  <dcterms:created xsi:type="dcterms:W3CDTF">2016-09-16T07:49:00Z</dcterms:created>
  <dcterms:modified xsi:type="dcterms:W3CDTF">2016-09-16T07:53:00Z</dcterms:modified>
</cp:coreProperties>
</file>