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19E7" w:rsidP="00247DB1">
      <w:pPr>
        <w:spacing w:after="120" w:line="240" w:lineRule="auto"/>
        <w:jc w:val="right"/>
      </w:pPr>
      <w:r>
        <w:t>Załącznik nr 2 do Zaproszenia</w:t>
      </w:r>
    </w:p>
    <w:p w:rsidR="00CA53A7" w:rsidRPr="00A8132A" w:rsidRDefault="00CA53A7" w:rsidP="00A8132A">
      <w:pPr>
        <w:spacing w:after="120" w:line="240" w:lineRule="auto"/>
        <w:jc w:val="right"/>
      </w:pPr>
    </w:p>
    <w:p w:rsidR="006B42CC" w:rsidRPr="003A0C93" w:rsidRDefault="006B42CC" w:rsidP="00132B35">
      <w:pPr>
        <w:spacing w:after="0"/>
        <w:jc w:val="center"/>
        <w:rPr>
          <w:b/>
        </w:rPr>
      </w:pPr>
      <w:r w:rsidRPr="003A0C93">
        <w:rPr>
          <w:b/>
        </w:rPr>
        <w:t xml:space="preserve">Warunki techniczne na </w:t>
      </w:r>
    </w:p>
    <w:p w:rsidR="006B42CC" w:rsidRDefault="006B42CC" w:rsidP="006B42C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lang w:eastAsia="en-US"/>
        </w:rPr>
        <w:br/>
      </w:r>
      <w:r w:rsidR="00DD0653">
        <w:rPr>
          <w:b/>
          <w:lang w:eastAsia="en-US"/>
        </w:rPr>
        <w:t>Opracowanie</w:t>
      </w:r>
      <w:r>
        <w:rPr>
          <w:b/>
          <w:bCs/>
        </w:rPr>
        <w:t xml:space="preserve"> oryginalnych zapisów niełacińskich dla nazw zawartych 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 w:rsidR="00DD0653">
        <w:rPr>
          <w:b/>
          <w:bCs/>
          <w:iCs/>
        </w:rPr>
        <w:t>” z obszaru Białorusi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DD0653" w:rsidRDefault="00CE3E6A" w:rsidP="00C535C8">
      <w:pPr>
        <w:spacing w:after="120"/>
        <w:jc w:val="both"/>
        <w:rPr>
          <w:bCs/>
          <w:iCs/>
        </w:rPr>
      </w:pPr>
      <w:r>
        <w:rPr>
          <w:rFonts w:eastAsiaTheme="minorHAnsi"/>
          <w:bCs/>
        </w:rPr>
        <w:t>Przedmiot zamówienia dotyczy opracowania</w:t>
      </w:r>
      <w:r w:rsidR="006B42CC" w:rsidRPr="006849EB">
        <w:rPr>
          <w:rFonts w:eastAsiaTheme="minorHAnsi"/>
          <w:bCs/>
        </w:rPr>
        <w:t xml:space="preserve"> </w:t>
      </w:r>
      <w:r w:rsidR="006B42CC" w:rsidRPr="00161510">
        <w:t xml:space="preserve">oryginalnych zapisów niełacińskich dla </w:t>
      </w:r>
      <w:r w:rsidR="006B42CC" w:rsidRPr="00161510">
        <w:rPr>
          <w:bCs/>
        </w:rPr>
        <w:t xml:space="preserve">nazw zawartych w </w:t>
      </w:r>
      <w:r w:rsidR="006B42CC">
        <w:rPr>
          <w:bCs/>
        </w:rPr>
        <w:t>„</w:t>
      </w:r>
      <w:r w:rsidR="006B42CC" w:rsidRPr="00A340D9">
        <w:rPr>
          <w:bCs/>
          <w:iCs/>
        </w:rPr>
        <w:t>Urzędowym wykazie polskich nazw geograficznych świata</w:t>
      </w:r>
      <w:r w:rsidR="006B42CC">
        <w:rPr>
          <w:bCs/>
          <w:iCs/>
        </w:rPr>
        <w:t>”</w:t>
      </w:r>
      <w:r w:rsidR="00DD0653">
        <w:rPr>
          <w:bCs/>
          <w:iCs/>
        </w:rPr>
        <w:t xml:space="preserve"> z obszaru Białorusi. </w:t>
      </w:r>
    </w:p>
    <w:p w:rsidR="006B42CC" w:rsidRDefault="00132B35" w:rsidP="00DD0653">
      <w:pPr>
        <w:spacing w:after="0"/>
        <w:jc w:val="both"/>
      </w:pPr>
      <w:r w:rsidRPr="00DD0653">
        <w:t xml:space="preserve">Łącznie </w:t>
      </w:r>
      <w:r w:rsidR="00DD0653" w:rsidRPr="00DD0653">
        <w:t xml:space="preserve">4142 nazwy, w tym: </w:t>
      </w:r>
      <w:r w:rsidR="00DD0653">
        <w:t>2063 nazwy białoruskie oraz 2079 nazw rosyjskich.</w:t>
      </w:r>
    </w:p>
    <w:p w:rsidR="00DD0653" w:rsidRPr="00DD0653" w:rsidRDefault="00DD0653" w:rsidP="00DD0653">
      <w:pPr>
        <w:spacing w:after="0"/>
        <w:jc w:val="both"/>
        <w:rPr>
          <w:bCs/>
          <w:iCs/>
        </w:rPr>
      </w:pPr>
    </w:p>
    <w:p w:rsidR="00DD0653" w:rsidRDefault="00132B35" w:rsidP="00DD0653">
      <w:pPr>
        <w:spacing w:after="0"/>
        <w:jc w:val="both"/>
        <w:rPr>
          <w:b/>
        </w:rPr>
      </w:pPr>
      <w:r>
        <w:rPr>
          <w:b/>
        </w:rPr>
        <w:t>W związku z ciągłą realizacją zadań przez Komisję Standaryzacji Nazw Geograficznych poza Granicami Rzeczypospolitej Polskiej w zakresie opiniowania polskich nazw geograficznych świata, ostateczna liczba nazw moż</w:t>
      </w:r>
      <w:r w:rsidR="00332B0D">
        <w:rPr>
          <w:b/>
        </w:rPr>
        <w:t>e ulec zmianie w granicach +/- 2</w:t>
      </w:r>
      <w:r>
        <w:rPr>
          <w:b/>
        </w:rPr>
        <w:t>%.</w:t>
      </w:r>
    </w:p>
    <w:p w:rsidR="00DD0653" w:rsidRPr="00DD0653" w:rsidRDefault="00DD0653" w:rsidP="00DD0653">
      <w:pPr>
        <w:spacing w:after="0"/>
        <w:jc w:val="both"/>
        <w:rPr>
          <w:b/>
        </w:rPr>
      </w:pPr>
    </w:p>
    <w:p w:rsidR="00E07909" w:rsidRDefault="00E07909" w:rsidP="00C535C8">
      <w:pPr>
        <w:pStyle w:val="Tekstpodstawowywcity2"/>
        <w:spacing w:line="276" w:lineRule="auto"/>
        <w:ind w:right="23" w:firstLine="0"/>
        <w:jc w:val="both"/>
        <w:rPr>
          <w:bCs/>
          <w:iCs/>
        </w:rPr>
      </w:pPr>
      <w:r w:rsidRPr="005F448E">
        <w:rPr>
          <w:bCs/>
          <w:iCs/>
        </w:rPr>
        <w:t xml:space="preserve">Forma elektroniczna publikacji </w:t>
      </w:r>
      <w:r>
        <w:rPr>
          <w:bCs/>
          <w:iCs/>
        </w:rPr>
        <w:t xml:space="preserve">„Urzędowy wykaz polskich nazw geograficznych świata” </w:t>
      </w:r>
      <w:r>
        <w:rPr>
          <w:bCs/>
          <w:iCs/>
        </w:rPr>
        <w:br/>
      </w:r>
      <w:r w:rsidRPr="005F448E">
        <w:rPr>
          <w:bCs/>
          <w:iCs/>
        </w:rPr>
        <w:t xml:space="preserve">w postaci pliku </w:t>
      </w:r>
      <w:r w:rsidR="00C16DAF" w:rsidRPr="005F448E">
        <w:rPr>
          <w:bCs/>
          <w:iCs/>
        </w:rPr>
        <w:t>PDF</w:t>
      </w:r>
      <w:r w:rsidRPr="005F448E">
        <w:rPr>
          <w:bCs/>
          <w:iCs/>
        </w:rPr>
        <w:t xml:space="preserve"> jest dostępna do wglądu na stronie internetowej Komisji Standaryzacji Nazw Geograficznych poza Granicami Rzeczypospolitej Polskiej, pod adresem: </w:t>
      </w:r>
      <w:hyperlink r:id="rId8" w:history="1">
        <w:r w:rsidRPr="00322C64">
          <w:rPr>
            <w:rStyle w:val="Hipercze"/>
            <w:bCs/>
            <w:iCs/>
          </w:rPr>
          <w:t>http://ksng.gugik.gov.pl/wpngs.php</w:t>
        </w:r>
      </w:hyperlink>
    </w:p>
    <w:p w:rsidR="00A8132A" w:rsidRDefault="00A8132A" w:rsidP="00DD0653">
      <w:pPr>
        <w:shd w:val="clear" w:color="auto" w:fill="FFFFFF"/>
        <w:tabs>
          <w:tab w:val="left" w:pos="1134"/>
        </w:tabs>
        <w:spacing w:after="0"/>
        <w:jc w:val="both"/>
      </w:pPr>
    </w:p>
    <w:p w:rsidR="00A8132A" w:rsidRPr="00DD0653" w:rsidRDefault="00A8132A" w:rsidP="00DD0653">
      <w:pPr>
        <w:shd w:val="clear" w:color="auto" w:fill="FFFFFF"/>
        <w:tabs>
          <w:tab w:val="left" w:pos="1134"/>
        </w:tabs>
        <w:spacing w:after="120"/>
        <w:jc w:val="both"/>
        <w:rPr>
          <w:b/>
        </w:rPr>
      </w:pPr>
      <w:r>
        <w:t>Materiały potrzebne do realizacji niniejszego zamówienia w postaci wykazów nazw geograficznych, dla których niezbędne jest opracowanie ww. oryginalnych zapisów niełacińskich (pliki w formacie Word</w:t>
      </w:r>
      <w:r w:rsidR="006F35E4">
        <w:t xml:space="preserve"> i PDF.</w:t>
      </w:r>
      <w:r>
        <w:t>) zostaną ud</w:t>
      </w:r>
      <w:r w:rsidR="00DD0653">
        <w:t>ostępnione Wykonawcy po podpisaniu</w:t>
      </w:r>
      <w:r>
        <w:t xml:space="preserve"> umowy.</w:t>
      </w:r>
    </w:p>
    <w:p w:rsidR="006B42CC" w:rsidRPr="003A0C93" w:rsidRDefault="006B42CC" w:rsidP="006B42CC">
      <w:pPr>
        <w:spacing w:before="120"/>
        <w:jc w:val="both"/>
      </w:pPr>
      <w:r>
        <w:t>Zakres przedmiotu zamówienia</w:t>
      </w:r>
      <w:r w:rsidRPr="003A0C93">
        <w:t xml:space="preserve"> obejmuje:</w:t>
      </w:r>
    </w:p>
    <w:p w:rsidR="006B42CC" w:rsidRPr="00F67C06" w:rsidRDefault="006B42CC" w:rsidP="00E07909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zawartych </w:t>
      </w:r>
      <w:r w:rsidR="00CB3892">
        <w:br/>
      </w:r>
      <w:r w:rsidR="00C16DAF">
        <w:t>w ww. publikacji</w:t>
      </w:r>
      <w:r>
        <w:t>,</w:t>
      </w:r>
      <w:r w:rsidRPr="003A0C93">
        <w:t xml:space="preserve"> zgodnie z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F67C06">
        <w:t xml:space="preserve"> warunków technicznych</w:t>
      </w:r>
      <w:r w:rsidR="00D756CF">
        <w:t>.</w:t>
      </w:r>
    </w:p>
    <w:p w:rsidR="00F67C06" w:rsidRDefault="00F67C06" w:rsidP="00E07909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</w:t>
      </w:r>
      <w:r>
        <w:rPr>
          <w:bCs/>
        </w:rPr>
        <w:br/>
      </w:r>
      <w:r w:rsidRPr="00161510">
        <w:rPr>
          <w:bCs/>
        </w:rPr>
        <w:t xml:space="preserve">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>
        <w:rPr>
          <w:bCs/>
          <w:iCs/>
        </w:rPr>
        <w:t xml:space="preserve">” należy dostarczyć </w:t>
      </w:r>
      <w:r>
        <w:rPr>
          <w:bCs/>
          <w:iCs/>
        </w:rPr>
        <w:br/>
        <w:t>w formie:</w:t>
      </w:r>
    </w:p>
    <w:p w:rsidR="00D756CF" w:rsidRPr="003A0C93" w:rsidRDefault="00D756CF" w:rsidP="00D756CF">
      <w:pPr>
        <w:pStyle w:val="Akapitzlist"/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contextualSpacing w:val="0"/>
        <w:jc w:val="both"/>
      </w:pPr>
      <w:r w:rsidRPr="003A0C93">
        <w:t>wydruku (1 szt.),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6F35E4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>
        <w:lastRenderedPageBreak/>
        <w:t xml:space="preserve">W przypadku zastosowania niestandardowych czcionek, </w:t>
      </w:r>
      <w:r w:rsidR="00D756CF" w:rsidRPr="003A0C93">
        <w:t>Wykonawca będzie zobowiązany do pr</w:t>
      </w:r>
      <w:r w:rsidR="00D756CF">
        <w:t>zekazania Zamawiającemu pliku z</w:t>
      </w:r>
      <w:r w:rsidR="00D756CF" w:rsidRPr="003A0C93">
        <w:t xml:space="preserve"> fontem</w:t>
      </w:r>
      <w:r w:rsidR="00D756CF">
        <w:t xml:space="preserve"> </w:t>
      </w:r>
      <w:r w:rsidR="00035B28">
        <w:t xml:space="preserve">danego </w:t>
      </w:r>
      <w:r w:rsidR="00D756CF">
        <w:t xml:space="preserve">pisma, </w:t>
      </w:r>
      <w:r w:rsidR="00035B28">
        <w:t>dla którego opracowywane były nazwy w oryginalnych zapisach niełacińskich.</w:t>
      </w:r>
    </w:p>
    <w:p w:rsidR="00035B28" w:rsidRPr="00C16DAF" w:rsidRDefault="00D756CF" w:rsidP="00C16DA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6F35E4">
        <w:rPr>
          <w:b/>
        </w:rPr>
        <w:t>11 grudnia</w:t>
      </w:r>
      <w:r w:rsidR="00132B35">
        <w:rPr>
          <w:b/>
        </w:rPr>
        <w:t xml:space="preserve"> 2017</w:t>
      </w:r>
      <w:r w:rsidRPr="003A0C93">
        <w:rPr>
          <w:b/>
        </w:rPr>
        <w:t xml:space="preserve"> r. </w:t>
      </w:r>
    </w:p>
    <w:p w:rsidR="00035B28" w:rsidRDefault="00035B28" w:rsidP="00C16DAF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 w:right="23" w:hanging="284"/>
        <w:rPr>
          <w:b/>
          <w:bCs/>
        </w:rPr>
      </w:pPr>
      <w:r>
        <w:rPr>
          <w:b/>
          <w:bCs/>
        </w:rPr>
        <w:t xml:space="preserve">3. Zasady opracowania oryginalnych zapisów niełacińskich dla nazw zawartych </w:t>
      </w:r>
    </w:p>
    <w:p w:rsidR="00035B28" w:rsidRPr="00035B28" w:rsidRDefault="00035B28" w:rsidP="00C16DAF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right="23" w:firstLine="0"/>
        <w:rPr>
          <w:rFonts w:eastAsia="TimesNewRomanPSMT"/>
          <w:bCs/>
          <w:szCs w:val="20"/>
        </w:rPr>
      </w:pPr>
      <w:r>
        <w:rPr>
          <w:b/>
          <w:bCs/>
        </w:rPr>
        <w:t xml:space="preserve">    w </w:t>
      </w:r>
      <w:r>
        <w:rPr>
          <w:b/>
          <w:bCs/>
          <w:i/>
          <w:iCs/>
        </w:rPr>
        <w:t>Urzędowym wykazie polskich nazw geograficznych świata</w:t>
      </w:r>
      <w:r>
        <w:rPr>
          <w:b/>
          <w:bCs/>
          <w:iCs/>
        </w:rPr>
        <w:t xml:space="preserve"> przyjęte przez KSNG</w:t>
      </w:r>
    </w:p>
    <w:p w:rsidR="00F67C06" w:rsidRDefault="00F67C06" w:rsidP="00D756CF">
      <w:pPr>
        <w:pStyle w:val="Tekstpodstawowywcity2"/>
        <w:spacing w:line="264" w:lineRule="auto"/>
        <w:ind w:left="360" w:right="23" w:firstLine="0"/>
        <w:rPr>
          <w:bCs/>
        </w:rPr>
      </w:pPr>
    </w:p>
    <w:p w:rsid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</w:t>
      </w:r>
      <w:proofErr w:type="spellStart"/>
      <w:r>
        <w:rPr>
          <w:rFonts w:eastAsia="TimesNewRomanPSMT"/>
          <w:bCs/>
          <w:szCs w:val="20"/>
        </w:rPr>
        <w:t>niełacińskim</w:t>
      </w:r>
      <w:proofErr w:type="spellEnd"/>
      <w:r>
        <w:rPr>
          <w:rFonts w:eastAsia="TimesNewRomanPSMT"/>
          <w:bCs/>
          <w:szCs w:val="20"/>
        </w:rPr>
        <w:t xml:space="preserve">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>
        <w:rPr>
          <w:bCs/>
          <w:i/>
          <w:iCs/>
        </w:rPr>
        <w:t>Urzędowym wykazie polskich nazw geograficznych świata</w:t>
      </w:r>
      <w:r>
        <w:rPr>
          <w:rFonts w:eastAsia="TimesNewRomanPSMT"/>
          <w:bCs/>
          <w:szCs w:val="20"/>
        </w:rPr>
        <w:t>, obcej nazwy (</w:t>
      </w:r>
      <w:proofErr w:type="spellStart"/>
      <w:r>
        <w:rPr>
          <w:rFonts w:eastAsia="TimesNewRomanPSMT"/>
          <w:bCs/>
          <w:szCs w:val="20"/>
        </w:rPr>
        <w:t>endonimu</w:t>
      </w:r>
      <w:proofErr w:type="spellEnd"/>
      <w:r>
        <w:rPr>
          <w:rFonts w:eastAsia="TimesNewRomanPSMT"/>
          <w:bCs/>
          <w:szCs w:val="20"/>
        </w:rPr>
        <w:t xml:space="preserve">) oryginalnie zapisanej w języku posługującym się </w:t>
      </w:r>
      <w:proofErr w:type="spellStart"/>
      <w:r>
        <w:rPr>
          <w:rFonts w:eastAsia="TimesNewRomanPSMT"/>
          <w:bCs/>
          <w:szCs w:val="20"/>
        </w:rPr>
        <w:t>niełacińskim</w:t>
      </w:r>
      <w:proofErr w:type="spellEnd"/>
      <w:r>
        <w:rPr>
          <w:rFonts w:eastAsia="TimesNewRomanPSMT"/>
          <w:bCs/>
          <w:szCs w:val="20"/>
        </w:rPr>
        <w:t xml:space="preserve"> systemem pisma.</w:t>
      </w:r>
    </w:p>
    <w:p w:rsidR="00035B28" w:rsidRDefault="00035B28" w:rsidP="00035B28">
      <w:pPr>
        <w:pStyle w:val="Tekstpodstawowywcity2"/>
        <w:spacing w:line="264" w:lineRule="auto"/>
        <w:ind w:right="23"/>
        <w:jc w:val="both"/>
        <w:rPr>
          <w:rFonts w:eastAsia="TimesNewRomanPSMT"/>
          <w:bCs/>
          <w:szCs w:val="20"/>
        </w:rPr>
      </w:pPr>
    </w:p>
    <w:p w:rsidR="00035B28" w:rsidRDefault="00035B28" w:rsidP="00035B28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</w:t>
      </w:r>
      <w:proofErr w:type="spellStart"/>
      <w:r>
        <w:rPr>
          <w:rFonts w:eastAsia="TimesNewRomanPSMT"/>
          <w:bCs/>
          <w:szCs w:val="20"/>
        </w:rPr>
        <w:t>niełacińskim</w:t>
      </w:r>
      <w:proofErr w:type="spellEnd"/>
      <w:r>
        <w:rPr>
          <w:rFonts w:eastAsia="TimesNewRomanPSMT"/>
          <w:bCs/>
          <w:szCs w:val="20"/>
        </w:rPr>
        <w:t xml:space="preserve"> należy oznaczyć </w:t>
      </w:r>
      <w:r w:rsidRPr="00997216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997216" w:rsidRDefault="00997216" w:rsidP="00997216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Dodając zapis oryginalnym pismem </w:t>
      </w:r>
      <w:proofErr w:type="spellStart"/>
      <w:r>
        <w:rPr>
          <w:rFonts w:eastAsia="TimesNewRomanPSMT"/>
          <w:bCs/>
          <w:szCs w:val="20"/>
        </w:rPr>
        <w:t>niełacińskim</w:t>
      </w:r>
      <w:proofErr w:type="spellEnd"/>
      <w:r>
        <w:rPr>
          <w:rFonts w:eastAsia="TimesNewRomanPSMT"/>
          <w:bCs/>
          <w:szCs w:val="20"/>
        </w:rPr>
        <w:t xml:space="preserve"> należy także zweryfikować podaną </w:t>
      </w:r>
      <w:r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>
        <w:rPr>
          <w:rFonts w:eastAsia="TimesNewRomanPSMT"/>
          <w:bCs/>
          <w:szCs w:val="20"/>
          <w:highlight w:val="yellow"/>
        </w:rPr>
        <w:t>wyróżnić żółtym tłem</w:t>
      </w:r>
      <w:r>
        <w:rPr>
          <w:rFonts w:eastAsia="TimesNewRomanPSMT"/>
          <w:bCs/>
          <w:szCs w:val="20"/>
        </w:rPr>
        <w:t>.</w:t>
      </w: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Oryginalny zapis niełaciński należy zamieścić bezpośrednio przed zapisem (lub zapisami) zlatynizowanym danej nazwy, stosując zapis pismem prostym (fontem </w:t>
      </w:r>
      <w:proofErr w:type="spellStart"/>
      <w:r>
        <w:rPr>
          <w:rFonts w:eastAsia="TimesNewRomanPSMT"/>
          <w:bCs/>
          <w:szCs w:val="20"/>
        </w:rPr>
        <w:t>TimesNewRoman</w:t>
      </w:r>
      <w:proofErr w:type="spellEnd"/>
      <w:r>
        <w:rPr>
          <w:rFonts w:eastAsia="TimesNewRomanPSMT"/>
          <w:bCs/>
          <w:szCs w:val="20"/>
        </w:rPr>
        <w:t xml:space="preserve"> </w:t>
      </w:r>
      <w:r>
        <w:rPr>
          <w:rFonts w:eastAsia="TimesNewRomanPSMT"/>
          <w:bCs/>
          <w:szCs w:val="20"/>
        </w:rPr>
        <w:br/>
        <w:t>o ile jest dostępny dla danego pisma, np. dla cyrylicy, greckiego</w:t>
      </w:r>
      <w:r w:rsidR="00997216">
        <w:rPr>
          <w:rFonts w:eastAsia="TimesNewRomanPSMT"/>
          <w:bCs/>
          <w:szCs w:val="20"/>
        </w:rPr>
        <w:t>; w przypadku zastosowania niestandardowych czcionek plik tej czcionki należy dołączyć do opracowania</w:t>
      </w:r>
      <w:r>
        <w:rPr>
          <w:rFonts w:eastAsia="TimesNewRomanPSMT"/>
          <w:bCs/>
          <w:szCs w:val="20"/>
        </w:rPr>
        <w:t xml:space="preserve">); zapis niełaciński należy oddzielić </w:t>
      </w:r>
      <w:proofErr w:type="spellStart"/>
      <w:r>
        <w:rPr>
          <w:rFonts w:eastAsia="TimesNewRomanPSMT"/>
          <w:bCs/>
          <w:szCs w:val="20"/>
        </w:rPr>
        <w:t>od</w:t>
      </w:r>
      <w:proofErr w:type="spellEnd"/>
      <w:r>
        <w:rPr>
          <w:rFonts w:eastAsia="TimesNewRomanPSMT"/>
          <w:bCs/>
          <w:szCs w:val="20"/>
        </w:rPr>
        <w:t xml:space="preserve"> zapisu zlatynizowanego </w:t>
      </w:r>
      <w:proofErr w:type="spellStart"/>
      <w:r>
        <w:rPr>
          <w:rFonts w:eastAsia="TimesNewRomanPSMT"/>
          <w:bCs/>
          <w:szCs w:val="20"/>
        </w:rPr>
        <w:t>półpauzą</w:t>
      </w:r>
      <w:proofErr w:type="spellEnd"/>
      <w:r>
        <w:rPr>
          <w:rFonts w:eastAsia="TimesNewRomanPSMT"/>
          <w:bCs/>
          <w:szCs w:val="20"/>
        </w:rPr>
        <w:t xml:space="preserve"> ze spacjami,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  <w:lang w:val="de-DE"/>
        </w:rPr>
        <w:t>София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Sofia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Sofija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Преспанско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color w:val="FF0000"/>
          <w:sz w:val="20"/>
          <w:szCs w:val="20"/>
        </w:rPr>
        <w:t>Езеро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proofErr w:type="spellStart"/>
      <w:r>
        <w:rPr>
          <w:i/>
          <w:iCs/>
          <w:sz w:val="20"/>
          <w:lang w:val="de-DE"/>
        </w:rPr>
        <w:t>również</w:t>
      </w:r>
      <w:proofErr w:type="spellEnd"/>
      <w:r>
        <w:rPr>
          <w:i/>
          <w:iCs/>
          <w:sz w:val="20"/>
          <w:lang w:val="de-DE"/>
        </w:rPr>
        <w:t xml:space="preserve"> </w:t>
      </w:r>
      <w:proofErr w:type="spellStart"/>
      <w:r>
        <w:rPr>
          <w:i/>
          <w:iCs/>
          <w:sz w:val="20"/>
          <w:lang w:val="de-DE"/>
        </w:rPr>
        <w:t>Albania</w:t>
      </w:r>
      <w:proofErr w:type="spellEnd"/>
      <w:r>
        <w:rPr>
          <w:i/>
          <w:iCs/>
          <w:sz w:val="20"/>
          <w:lang w:val="de-DE"/>
        </w:rPr>
        <w:t xml:space="preserve">, </w:t>
      </w:r>
      <w:proofErr w:type="spellStart"/>
      <w:r>
        <w:rPr>
          <w:i/>
          <w:iCs/>
          <w:sz w:val="20"/>
          <w:lang w:val="de-DE"/>
        </w:rPr>
        <w:t>Grecja</w:t>
      </w:r>
      <w:proofErr w:type="spellEnd"/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Івано</w:t>
      </w:r>
      <w:proofErr w:type="spellEnd"/>
      <w:r>
        <w:rPr>
          <w:color w:val="FF0000"/>
          <w:sz w:val="20"/>
          <w:szCs w:val="20"/>
          <w:lang w:val="de-DE"/>
        </w:rPr>
        <w:t>-</w:t>
      </w:r>
      <w:proofErr w:type="spellStart"/>
      <w:r>
        <w:rPr>
          <w:color w:val="FF0000"/>
          <w:sz w:val="20"/>
          <w:szCs w:val="20"/>
        </w:rPr>
        <w:t>Франківськ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</w:t>
      </w:r>
      <w:proofErr w:type="spellStart"/>
      <w:r>
        <w:rPr>
          <w:sz w:val="20"/>
          <w:szCs w:val="20"/>
          <w:lang w:val="de-DE"/>
        </w:rPr>
        <w:t>Frankivsk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sz w:val="20"/>
          <w:szCs w:val="20"/>
          <w:lang w:val="de-DE"/>
        </w:rPr>
        <w:t>trl</w:t>
      </w:r>
      <w:proofErr w:type="spellEnd"/>
      <w:r>
        <w:rPr>
          <w:i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), </w:t>
      </w:r>
      <w:proofErr w:type="spellStart"/>
      <w:r>
        <w:rPr>
          <w:sz w:val="20"/>
          <w:szCs w:val="20"/>
          <w:lang w:val="de-DE"/>
        </w:rPr>
        <w:t>Iwano-Frankiwśk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proofErr w:type="spellStart"/>
      <w:r>
        <w:rPr>
          <w:i/>
          <w:iCs/>
          <w:sz w:val="20"/>
          <w:lang w:val="de-DE" w:eastAsia="ko-KR"/>
        </w:rPr>
        <w:t>obwód</w:t>
      </w:r>
      <w:proofErr w:type="spellEnd"/>
      <w:r>
        <w:rPr>
          <w:i/>
          <w:iCs/>
          <w:sz w:val="20"/>
          <w:lang w:val="de-DE" w:eastAsia="ko-KR"/>
        </w:rPr>
        <w:t xml:space="preserve"> </w:t>
      </w:r>
      <w:proofErr w:type="spellStart"/>
      <w:r>
        <w:rPr>
          <w:i/>
          <w:iCs/>
          <w:sz w:val="20"/>
          <w:lang w:val="de-DE" w:eastAsia="ko-KR"/>
        </w:rPr>
        <w:t>iwanofrankiwski</w:t>
      </w:r>
      <w:proofErr w:type="spellEnd"/>
      <w:r>
        <w:rPr>
          <w:sz w:val="20"/>
          <w:lang w:val="de-DE" w:eastAsia="ko-KR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Θεσσαλονίκη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Thessaloníkī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Tesaloniki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Yerevan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Jerewan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035B28">
      <w:pPr>
        <w:ind w:left="600" w:hanging="458"/>
        <w:rPr>
          <w:iCs/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Wyżyna</w:t>
      </w:r>
      <w:proofErr w:type="spellEnd"/>
      <w:r>
        <w:rPr>
          <w:rFonts w:ascii="Calibri" w:hAnsi="Calibri"/>
          <w:b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Lessowa</w:t>
      </w:r>
      <w:proofErr w:type="spellEnd"/>
      <w:r>
        <w:rPr>
          <w:iCs/>
          <w:sz w:val="20"/>
          <w:szCs w:val="20"/>
          <w:lang w:val="de-DE"/>
        </w:rPr>
        <w:t xml:space="preserve">; </w:t>
      </w:r>
      <w:proofErr w:type="spellStart"/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proofErr w:type="spellEnd"/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Huangtu</w:t>
      </w:r>
      <w:proofErr w:type="spellEnd"/>
      <w:r>
        <w:rPr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Gaoyuan</w:t>
      </w:r>
      <w:proofErr w:type="spellEnd"/>
      <w:r>
        <w:rPr>
          <w:iCs/>
          <w:sz w:val="20"/>
          <w:szCs w:val="20"/>
          <w:lang w:val="de-DE"/>
        </w:rPr>
        <w:t>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</w:t>
      </w:r>
      <w:proofErr w:type="spellEnd"/>
      <w:r>
        <w:rPr>
          <w:rFonts w:ascii="Sylfaen" w:hAnsi="Sylfaen" w:cs="Sylfaen"/>
          <w:color w:val="FF0000"/>
          <w:sz w:val="20"/>
          <w:szCs w:val="20"/>
          <w:lang w:val="de-DE"/>
        </w:rPr>
        <w:t xml:space="preserve">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Meskheti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Mescheti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Namcze</w:t>
      </w:r>
      <w:proofErr w:type="spellEnd"/>
      <w:r>
        <w:rPr>
          <w:rFonts w:ascii="Calibri" w:hAnsi="Calibri"/>
          <w:b/>
          <w:bCs/>
          <w:sz w:val="20"/>
          <w:szCs w:val="20"/>
          <w:lang w:val="de-DE"/>
        </w:rPr>
        <w:t xml:space="preserve"> Bazar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नाम्चे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बजार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Nāmce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Bajār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Namće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Badźar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27°48′15″N, 86°42′40″E</w:t>
      </w:r>
    </w:p>
    <w:p w:rsidR="00035B28" w:rsidRDefault="00035B28" w:rsidP="00C16DAF">
      <w:pPr>
        <w:pStyle w:val="Tekstpodstawowywcity2"/>
        <w:spacing w:after="120" w:line="264" w:lineRule="auto"/>
        <w:ind w:right="23" w:firstLine="0"/>
        <w:jc w:val="both"/>
        <w:rPr>
          <w:szCs w:val="22"/>
        </w:rPr>
      </w:pPr>
      <w:r>
        <w:rPr>
          <w:szCs w:val="22"/>
        </w:rPr>
        <w:t xml:space="preserve">Jeżeli dla danego obiektu podano kilka </w:t>
      </w:r>
      <w:proofErr w:type="spellStart"/>
      <w:r>
        <w:rPr>
          <w:szCs w:val="22"/>
        </w:rPr>
        <w:t>endonimów</w:t>
      </w:r>
      <w:proofErr w:type="spellEnd"/>
      <w:r>
        <w:rPr>
          <w:szCs w:val="22"/>
        </w:rPr>
        <w:t xml:space="preserve">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Błagojewgrad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Област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Oblast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Obłast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Тракийска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Trakiyska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Trakijska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proofErr w:type="spellStart"/>
      <w:r>
        <w:rPr>
          <w:color w:val="FF0000"/>
          <w:sz w:val="20"/>
        </w:rPr>
        <w:t>Маричина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Marichina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Mariczina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Kotlina </w:t>
      </w:r>
      <w:proofErr w:type="spellStart"/>
      <w:r>
        <w:rPr>
          <w:rFonts w:ascii="Calibri" w:hAnsi="Calibri"/>
          <w:b/>
          <w:bCs/>
          <w:sz w:val="20"/>
          <w:szCs w:val="20"/>
        </w:rPr>
        <w:t>Pelagońska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Пелагонија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proofErr w:type="spellStart"/>
      <w:r>
        <w:rPr>
          <w:color w:val="FF0000"/>
          <w:sz w:val="20"/>
          <w:szCs w:val="20"/>
        </w:rPr>
        <w:t>Пелагониска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котлина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proofErr w:type="spellStart"/>
      <w:r>
        <w:rPr>
          <w:rFonts w:eastAsia="TimesNewRomanPS-ItalicMT"/>
          <w:i/>
          <w:iCs/>
          <w:sz w:val="20"/>
          <w:szCs w:val="20"/>
        </w:rPr>
        <w:t>Pelagonia</w:t>
      </w:r>
      <w:proofErr w:type="spellEnd"/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proofErr w:type="spellEnd"/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Yunnan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rFonts w:ascii="MS Mincho" w:eastAsia="MS Mincho" w:hAnsi="MS Mincho" w:cs="MS Mincho" w:hint="eastAsia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proofErr w:type="spellStart"/>
      <w:r>
        <w:rPr>
          <w:rFonts w:eastAsia="TimesNewRomanPSMT"/>
          <w:i/>
          <w:sz w:val="20"/>
          <w:szCs w:val="20"/>
        </w:rPr>
        <w:t>błr</w:t>
      </w:r>
      <w:proofErr w:type="spellEnd"/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Мінск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rFonts w:eastAsia="TimesNewRomanPSMT"/>
          <w:sz w:val="20"/>
          <w:szCs w:val="20"/>
        </w:rPr>
        <w:t xml:space="preserve">.),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Минск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>.), 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Aomen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i/>
          <w:iCs/>
          <w:sz w:val="20"/>
          <w:szCs w:val="20"/>
          <w:lang w:val="de-DE"/>
        </w:rPr>
        <w:t>kant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Oumun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port</w:t>
      </w:r>
      <w:proofErr w:type="spellEnd"/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szCs w:val="20"/>
        </w:rPr>
        <w:t>Адыгея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>)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(Adygeja)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Adygè</w:t>
      </w:r>
      <w:proofErr w:type="spellEnd"/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Республик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  <w:lang w:val="de-DE"/>
        </w:rPr>
        <w:t>Adygè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Respublik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maced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lang w:val="en-US"/>
        </w:rPr>
        <w:t>Тетово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Tetovo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Tetovë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Tetova</w:t>
      </w:r>
      <w:proofErr w:type="spellEnd"/>
      <w:r>
        <w:rPr>
          <w:sz w:val="20"/>
          <w:szCs w:val="20"/>
          <w:lang w:val="en-US"/>
        </w:rPr>
        <w:t>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ros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Бендеры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Biendiery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proofErr w:type="spellStart"/>
      <w:r>
        <w:rPr>
          <w:color w:val="FF0000"/>
          <w:sz w:val="20"/>
          <w:szCs w:val="20"/>
          <w:lang w:val="en-US"/>
        </w:rPr>
        <w:t>Тигина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ukr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Бендери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proofErr w:type="spellStart"/>
      <w:r>
        <w:rPr>
          <w:color w:val="FF0000"/>
          <w:sz w:val="20"/>
          <w:szCs w:val="20"/>
          <w:lang w:val="de-DE"/>
        </w:rPr>
        <w:t>ґіна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proofErr w:type="spellStart"/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sz w:val="20"/>
          <w:szCs w:val="20"/>
          <w:lang w:val="de-DE"/>
        </w:rPr>
        <w:t>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ukr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Цігелька</w:t>
      </w:r>
      <w:proofErr w:type="spellEnd"/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MT"/>
          <w:sz w:val="20"/>
          <w:szCs w:val="20"/>
          <w:lang w:val="de-DE"/>
        </w:rPr>
        <w:t>Tsihelka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.), </w:t>
      </w:r>
      <w:proofErr w:type="spellStart"/>
      <w:r>
        <w:rPr>
          <w:rFonts w:eastAsia="TimesNewRomanPSMT"/>
          <w:sz w:val="20"/>
          <w:szCs w:val="20"/>
          <w:lang w:val="de-DE"/>
        </w:rPr>
        <w:t>Cihelka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</w:t>
      </w:r>
      <w:proofErr w:type="spellStart"/>
      <w:r>
        <w:rPr>
          <w:rFonts w:eastAsia="TimesNewRomanPSMT"/>
          <w:bCs/>
          <w:szCs w:val="20"/>
        </w:rPr>
        <w:t>sukun</w:t>
      </w:r>
      <w:proofErr w:type="spellEnd"/>
      <w:r>
        <w:rPr>
          <w:rFonts w:eastAsia="TimesNewRomanPSMT"/>
          <w:bCs/>
          <w:szCs w:val="20"/>
        </w:rPr>
        <w:t xml:space="preserve"> (w arabskim), </w:t>
      </w:r>
      <w:proofErr w:type="spellStart"/>
      <w:r>
        <w:rPr>
          <w:rFonts w:eastAsia="TimesNewRomanPSMT"/>
          <w:bCs/>
          <w:szCs w:val="20"/>
        </w:rPr>
        <w:t>dagesz</w:t>
      </w:r>
      <w:proofErr w:type="spellEnd"/>
      <w:r>
        <w:rPr>
          <w:rFonts w:eastAsia="TimesNewRomanPSMT"/>
          <w:bCs/>
          <w:szCs w:val="20"/>
        </w:rPr>
        <w:t xml:space="preserve"> (w hebrajskim) itp. </w:t>
      </w: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>
        <w:rPr>
          <w:rFonts w:eastAsia="TimesNewRomanPSMT"/>
          <w:bCs/>
          <w:i/>
          <w:szCs w:val="20"/>
        </w:rPr>
        <w:t>е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ё</w:t>
      </w:r>
      <w:r>
        <w:rPr>
          <w:rFonts w:eastAsia="TimesNewRomanPSMT"/>
          <w:bCs/>
          <w:szCs w:val="20"/>
        </w:rPr>
        <w:t xml:space="preserve"> (zwłaszcza w języku rosyjskim).</w:t>
      </w:r>
    </w:p>
    <w:p w:rsidR="00035B28" w:rsidRPr="00A8132A" w:rsidRDefault="00035B28" w:rsidP="00A8132A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Zapisy koreańskie należy podać wyłącznie w piśmie </w:t>
      </w:r>
      <w:proofErr w:type="spellStart"/>
      <w:r>
        <w:rPr>
          <w:rFonts w:eastAsia="TimesNewRomanPSMT"/>
          <w:bCs/>
          <w:i/>
          <w:szCs w:val="20"/>
        </w:rPr>
        <w:t>hangul</w:t>
      </w:r>
      <w:proofErr w:type="spellEnd"/>
      <w:r>
        <w:rPr>
          <w:rFonts w:eastAsia="TimesNewRomanPSMT"/>
          <w:bCs/>
          <w:szCs w:val="20"/>
        </w:rPr>
        <w:t xml:space="preserve"> (bez form w chińskim zapisie </w:t>
      </w:r>
      <w:proofErr w:type="spellStart"/>
      <w:r>
        <w:rPr>
          <w:rFonts w:eastAsia="TimesNewRomanPSMT"/>
          <w:bCs/>
          <w:i/>
          <w:szCs w:val="20"/>
        </w:rPr>
        <w:t>hancha</w:t>
      </w:r>
      <w:proofErr w:type="spellEnd"/>
      <w:r>
        <w:rPr>
          <w:rFonts w:eastAsia="TimesNewRomanPSMT"/>
          <w:bCs/>
          <w:szCs w:val="20"/>
        </w:rPr>
        <w:t xml:space="preserve">), zaś zapisy japońskie w pismach </w:t>
      </w:r>
      <w:proofErr w:type="spellStart"/>
      <w:r>
        <w:rPr>
          <w:rFonts w:eastAsia="TimesNewRomanPSMT"/>
          <w:bCs/>
          <w:i/>
          <w:szCs w:val="20"/>
        </w:rPr>
        <w:t>kanji</w:t>
      </w:r>
      <w:proofErr w:type="spellEnd"/>
      <w:r>
        <w:rPr>
          <w:rFonts w:eastAsia="TimesNewRomanPSMT"/>
          <w:bCs/>
          <w:szCs w:val="20"/>
        </w:rPr>
        <w:t xml:space="preserve"> i </w:t>
      </w:r>
      <w:proofErr w:type="spellStart"/>
      <w:r>
        <w:rPr>
          <w:rFonts w:eastAsia="TimesNewRomanPSMT"/>
          <w:bCs/>
          <w:i/>
          <w:szCs w:val="20"/>
        </w:rPr>
        <w:t>kana</w:t>
      </w:r>
      <w:proofErr w:type="spellEnd"/>
      <w:r>
        <w:rPr>
          <w:rFonts w:eastAsia="TimesNewRomanPSMT"/>
          <w:bCs/>
          <w:szCs w:val="20"/>
        </w:rPr>
        <w:t xml:space="preserve"> (o ile są stosowane dla danej nazwy). </w:t>
      </w:r>
    </w:p>
    <w:sectPr w:rsidR="00035B28" w:rsidRPr="00A8132A" w:rsidSect="00132B35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DC" w:rsidRDefault="007E7ADC" w:rsidP="00035B28">
      <w:pPr>
        <w:spacing w:after="0" w:line="240" w:lineRule="auto"/>
      </w:pPr>
      <w:r>
        <w:separator/>
      </w:r>
    </w:p>
  </w:endnote>
  <w:endnote w:type="continuationSeparator" w:id="0">
    <w:p w:rsidR="007E7ADC" w:rsidRDefault="007E7ADC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490"/>
      <w:docPartObj>
        <w:docPartGallery w:val="Page Numbers (Bottom of Page)"/>
        <w:docPartUnique/>
      </w:docPartObj>
    </w:sdtPr>
    <w:sdtContent>
      <w:p w:rsidR="00035B28" w:rsidRDefault="007D42B4">
        <w:pPr>
          <w:pStyle w:val="Stopka"/>
          <w:jc w:val="right"/>
        </w:pPr>
        <w:fldSimple w:instr=" PAGE   \* MERGEFORMAT ">
          <w:r w:rsidR="000319E7">
            <w:rPr>
              <w:noProof/>
            </w:rPr>
            <w:t>3</w:t>
          </w:r>
        </w:fldSimple>
      </w:p>
    </w:sdtContent>
  </w:sdt>
  <w:p w:rsidR="00035B28" w:rsidRDefault="00035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DC" w:rsidRDefault="007E7ADC" w:rsidP="00035B28">
      <w:pPr>
        <w:spacing w:after="0" w:line="240" w:lineRule="auto"/>
      </w:pPr>
      <w:r>
        <w:separator/>
      </w:r>
    </w:p>
  </w:footnote>
  <w:footnote w:type="continuationSeparator" w:id="0">
    <w:p w:rsidR="007E7ADC" w:rsidRDefault="007E7ADC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251D"/>
    <w:multiLevelType w:val="hybridMultilevel"/>
    <w:tmpl w:val="E6EC6AC4"/>
    <w:lvl w:ilvl="0" w:tplc="53A8B78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1B0C"/>
    <w:multiLevelType w:val="hybridMultilevel"/>
    <w:tmpl w:val="6ACA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CC"/>
    <w:rsid w:val="000319E7"/>
    <w:rsid w:val="00035B28"/>
    <w:rsid w:val="000B2951"/>
    <w:rsid w:val="0010217E"/>
    <w:rsid w:val="00123745"/>
    <w:rsid w:val="00132B35"/>
    <w:rsid w:val="001A3E6E"/>
    <w:rsid w:val="001C2E23"/>
    <w:rsid w:val="001C719D"/>
    <w:rsid w:val="00223CE0"/>
    <w:rsid w:val="00247DB1"/>
    <w:rsid w:val="002E1B2A"/>
    <w:rsid w:val="003278A6"/>
    <w:rsid w:val="00332B0D"/>
    <w:rsid w:val="003E2D9A"/>
    <w:rsid w:val="004075EE"/>
    <w:rsid w:val="00447B76"/>
    <w:rsid w:val="00455211"/>
    <w:rsid w:val="005332B3"/>
    <w:rsid w:val="00545BB2"/>
    <w:rsid w:val="0058222A"/>
    <w:rsid w:val="005A626C"/>
    <w:rsid w:val="005B11A7"/>
    <w:rsid w:val="005B280C"/>
    <w:rsid w:val="00642355"/>
    <w:rsid w:val="006B42CC"/>
    <w:rsid w:val="006F35E4"/>
    <w:rsid w:val="00774A78"/>
    <w:rsid w:val="007963A5"/>
    <w:rsid w:val="007D42B4"/>
    <w:rsid w:val="007D7310"/>
    <w:rsid w:val="007E6C8F"/>
    <w:rsid w:val="007E7ADC"/>
    <w:rsid w:val="0083797C"/>
    <w:rsid w:val="009115F8"/>
    <w:rsid w:val="00997216"/>
    <w:rsid w:val="009F6612"/>
    <w:rsid w:val="00A330E6"/>
    <w:rsid w:val="00A51744"/>
    <w:rsid w:val="00A8132A"/>
    <w:rsid w:val="00A85BDE"/>
    <w:rsid w:val="00A950A1"/>
    <w:rsid w:val="00AD25A8"/>
    <w:rsid w:val="00AF6331"/>
    <w:rsid w:val="00B2115D"/>
    <w:rsid w:val="00B25425"/>
    <w:rsid w:val="00B32CFA"/>
    <w:rsid w:val="00B85328"/>
    <w:rsid w:val="00BE2C3E"/>
    <w:rsid w:val="00C05D61"/>
    <w:rsid w:val="00C16DAF"/>
    <w:rsid w:val="00C535C8"/>
    <w:rsid w:val="00C673B1"/>
    <w:rsid w:val="00C7588C"/>
    <w:rsid w:val="00CA53A7"/>
    <w:rsid w:val="00CB3892"/>
    <w:rsid w:val="00CE3E6A"/>
    <w:rsid w:val="00D03504"/>
    <w:rsid w:val="00D234F4"/>
    <w:rsid w:val="00D756CF"/>
    <w:rsid w:val="00D86454"/>
    <w:rsid w:val="00D92846"/>
    <w:rsid w:val="00DD0653"/>
    <w:rsid w:val="00DF43DD"/>
    <w:rsid w:val="00E07909"/>
    <w:rsid w:val="00F67C06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B3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B35"/>
    <w:rPr>
      <w:rFonts w:ascii="Consolas" w:hAnsi="Consolas" w:cstheme="minorBidi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p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02C5-AD95-4507-9113-61D9AA61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2017-09-15T07:30:00Z</dcterms:created>
  <dcterms:modified xsi:type="dcterms:W3CDTF">2017-09-15T07:31:00Z</dcterms:modified>
</cp:coreProperties>
</file>